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139" w:type="dxa"/>
        <w:tblInd w:w="-431" w:type="dxa"/>
        <w:tblLook w:val="04A0" w:firstRow="1" w:lastRow="0" w:firstColumn="1" w:lastColumn="0" w:noHBand="0" w:noVBand="1"/>
      </w:tblPr>
      <w:tblGrid>
        <w:gridCol w:w="3379"/>
        <w:gridCol w:w="3379"/>
        <w:gridCol w:w="3381"/>
      </w:tblGrid>
      <w:tr w:rsidR="00F37745" w:rsidTr="00E772FA">
        <w:trPr>
          <w:trHeight w:val="462"/>
        </w:trPr>
        <w:tc>
          <w:tcPr>
            <w:tcW w:w="10139" w:type="dxa"/>
            <w:gridSpan w:val="3"/>
          </w:tcPr>
          <w:p w:rsidR="00F37745" w:rsidRPr="00F37745" w:rsidRDefault="00F37745" w:rsidP="00F37745">
            <w:pPr>
              <w:spacing w:line="276" w:lineRule="auto"/>
              <w:rPr>
                <w:rFonts w:ascii="Times New Roman" w:hAnsi="Times New Roman" w:cs="Times New Roman"/>
                <w:sz w:val="20"/>
                <w:szCs w:val="20"/>
              </w:rPr>
            </w:pPr>
            <w:bookmarkStart w:id="0" w:name="_GoBack" w:colFirst="1" w:colLast="1"/>
            <w:r w:rsidRPr="00F37745">
              <w:rPr>
                <w:rFonts w:ascii="Times New Roman" w:hAnsi="Times New Roman" w:cs="Times New Roman"/>
                <w:b/>
                <w:sz w:val="20"/>
                <w:szCs w:val="20"/>
              </w:rPr>
              <w:t>SÜREÇ KOORDİNATÖRÜ</w:t>
            </w:r>
            <w:r w:rsidRPr="00F37745">
              <w:rPr>
                <w:rFonts w:ascii="Times New Roman" w:hAnsi="Times New Roman" w:cs="Times New Roman"/>
                <w:sz w:val="20"/>
                <w:szCs w:val="20"/>
              </w:rPr>
              <w:t>:</w:t>
            </w:r>
            <w:r>
              <w:rPr>
                <w:rFonts w:ascii="Times New Roman" w:hAnsi="Times New Roman" w:cs="Times New Roman"/>
                <w:sz w:val="20"/>
                <w:szCs w:val="20"/>
              </w:rPr>
              <w:t xml:space="preserve"> kalite@kastamonu.edu.tr</w:t>
            </w:r>
          </w:p>
        </w:tc>
      </w:tr>
      <w:tr w:rsidR="00F37745" w:rsidTr="00E772FA">
        <w:trPr>
          <w:trHeight w:val="436"/>
        </w:trPr>
        <w:tc>
          <w:tcPr>
            <w:tcW w:w="10139" w:type="dxa"/>
            <w:gridSpan w:val="3"/>
          </w:tcPr>
          <w:p w:rsidR="00F37745" w:rsidRPr="00F37745" w:rsidRDefault="00F37745" w:rsidP="003647D5">
            <w:pPr>
              <w:spacing w:line="276" w:lineRule="auto"/>
              <w:rPr>
                <w:rFonts w:ascii="Times New Roman" w:hAnsi="Times New Roman" w:cs="Times New Roman"/>
                <w:sz w:val="20"/>
                <w:szCs w:val="20"/>
              </w:rPr>
            </w:pPr>
            <w:r w:rsidRPr="00F37745">
              <w:rPr>
                <w:rFonts w:ascii="Times New Roman" w:hAnsi="Times New Roman" w:cs="Times New Roman"/>
                <w:b/>
                <w:sz w:val="20"/>
                <w:szCs w:val="20"/>
              </w:rPr>
              <w:t>SÜREÇTEN SORUMLU BİRİMLER:</w:t>
            </w:r>
            <w:r w:rsidRPr="00F37745">
              <w:rPr>
                <w:rFonts w:ascii="Times New Roman" w:hAnsi="Times New Roman" w:cs="Times New Roman"/>
                <w:sz w:val="20"/>
                <w:szCs w:val="20"/>
              </w:rPr>
              <w:t xml:space="preserve"> </w:t>
            </w:r>
            <w:r w:rsidR="00340128" w:rsidRPr="00340128">
              <w:rPr>
                <w:rFonts w:ascii="Times New Roman" w:hAnsi="Times New Roman" w:cs="Times New Roman"/>
                <w:sz w:val="20"/>
                <w:szCs w:val="20"/>
              </w:rPr>
              <w:t>STRATEJİ GELİŞTİRME DAİRE BAŞKANLIĞ</w:t>
            </w:r>
            <w:r w:rsidR="00340128">
              <w:rPr>
                <w:rFonts w:ascii="Times New Roman" w:hAnsi="Times New Roman" w:cs="Times New Roman"/>
                <w:sz w:val="20"/>
                <w:szCs w:val="20"/>
              </w:rPr>
              <w:t>I</w:t>
            </w:r>
          </w:p>
        </w:tc>
      </w:tr>
      <w:tr w:rsidR="00F37745" w:rsidTr="00E772FA">
        <w:trPr>
          <w:trHeight w:val="462"/>
        </w:trPr>
        <w:tc>
          <w:tcPr>
            <w:tcW w:w="10139" w:type="dxa"/>
            <w:gridSpan w:val="3"/>
          </w:tcPr>
          <w:p w:rsidR="00F37745" w:rsidRPr="00340128" w:rsidRDefault="00F37745" w:rsidP="003647D5">
            <w:pPr>
              <w:spacing w:line="276" w:lineRule="auto"/>
              <w:rPr>
                <w:rFonts w:ascii="Times New Roman" w:hAnsi="Times New Roman" w:cs="Times New Roman"/>
                <w:sz w:val="20"/>
                <w:szCs w:val="20"/>
              </w:rPr>
            </w:pPr>
            <w:r w:rsidRPr="00F37745">
              <w:rPr>
                <w:rFonts w:ascii="Times New Roman" w:hAnsi="Times New Roman" w:cs="Times New Roman"/>
                <w:b/>
                <w:sz w:val="20"/>
                <w:szCs w:val="20"/>
              </w:rPr>
              <w:t>YETKİ VE SORUMLULUKLAR</w:t>
            </w:r>
            <w:r w:rsidRPr="00F37745">
              <w:rPr>
                <w:rFonts w:ascii="Times New Roman" w:hAnsi="Times New Roman" w:cs="Times New Roman"/>
                <w:sz w:val="20"/>
                <w:szCs w:val="20"/>
              </w:rPr>
              <w:t xml:space="preserve">: </w:t>
            </w:r>
            <w:r w:rsidR="00A46038" w:rsidRPr="00A46038">
              <w:rPr>
                <w:rFonts w:ascii="Times New Roman" w:hAnsi="Times New Roman" w:cs="Times New Roman"/>
                <w:b/>
                <w:bCs/>
                <w:sz w:val="20"/>
                <w:szCs w:val="20"/>
              </w:rPr>
              <w:t> </w:t>
            </w:r>
            <w:r w:rsidR="00340128" w:rsidRPr="00340128">
              <w:rPr>
                <w:rFonts w:ascii="Times New Roman" w:hAnsi="Times New Roman" w:cs="Times New Roman"/>
                <w:bCs/>
                <w:sz w:val="20"/>
                <w:szCs w:val="20"/>
              </w:rPr>
              <w:t>Gö</w:t>
            </w:r>
            <w:r w:rsidR="00340128">
              <w:rPr>
                <w:rFonts w:ascii="Times New Roman" w:hAnsi="Times New Roman" w:cs="Times New Roman"/>
                <w:bCs/>
                <w:sz w:val="20"/>
                <w:szCs w:val="20"/>
              </w:rPr>
              <w:t>rev tanımlarında belirlenmiştir</w:t>
            </w:r>
          </w:p>
        </w:tc>
      </w:tr>
      <w:tr w:rsidR="00F37745" w:rsidTr="00340128">
        <w:trPr>
          <w:trHeight w:val="423"/>
        </w:trPr>
        <w:tc>
          <w:tcPr>
            <w:tcW w:w="10139" w:type="dxa"/>
            <w:gridSpan w:val="3"/>
          </w:tcPr>
          <w:p w:rsidR="00F37745" w:rsidRPr="00F37745" w:rsidRDefault="00F37745" w:rsidP="003647D5">
            <w:pPr>
              <w:spacing w:line="276" w:lineRule="auto"/>
              <w:rPr>
                <w:rFonts w:ascii="Times New Roman" w:hAnsi="Times New Roman" w:cs="Times New Roman"/>
                <w:sz w:val="20"/>
                <w:szCs w:val="20"/>
              </w:rPr>
            </w:pPr>
            <w:r w:rsidRPr="00F37745">
              <w:rPr>
                <w:rFonts w:ascii="Times New Roman" w:hAnsi="Times New Roman" w:cs="Times New Roman"/>
                <w:b/>
                <w:sz w:val="20"/>
                <w:szCs w:val="20"/>
              </w:rPr>
              <w:t>SÜRECİN AMACI:</w:t>
            </w:r>
            <w:r w:rsidRPr="00F37745">
              <w:rPr>
                <w:rFonts w:ascii="Times New Roman" w:hAnsi="Times New Roman" w:cs="Times New Roman"/>
                <w:sz w:val="20"/>
                <w:szCs w:val="20"/>
              </w:rPr>
              <w:t xml:space="preserve"> </w:t>
            </w:r>
            <w:r w:rsidR="00340128" w:rsidRPr="00340128">
              <w:rPr>
                <w:rFonts w:ascii="Times New Roman" w:hAnsi="Times New Roman" w:cs="Times New Roman"/>
                <w:sz w:val="20"/>
                <w:szCs w:val="20"/>
              </w:rPr>
              <w:t>Üniversitemiz mali kaynaklarının etkili, ekonomik ve verimli olarak yönetilmesini sağlamak</w:t>
            </w:r>
          </w:p>
        </w:tc>
      </w:tr>
      <w:tr w:rsidR="00F37745" w:rsidTr="00E772FA">
        <w:trPr>
          <w:trHeight w:val="436"/>
        </w:trPr>
        <w:tc>
          <w:tcPr>
            <w:tcW w:w="3379"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GİRDİLER</w:t>
            </w:r>
          </w:p>
        </w:tc>
        <w:tc>
          <w:tcPr>
            <w:tcW w:w="3379"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KAYNAKLAR</w:t>
            </w:r>
          </w:p>
        </w:tc>
        <w:tc>
          <w:tcPr>
            <w:tcW w:w="3379"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ÇIKTILAR</w:t>
            </w:r>
          </w:p>
        </w:tc>
      </w:tr>
      <w:tr w:rsidR="00F37745" w:rsidTr="00E772FA">
        <w:trPr>
          <w:trHeight w:val="436"/>
        </w:trPr>
        <w:tc>
          <w:tcPr>
            <w:tcW w:w="3379" w:type="dxa"/>
          </w:tcPr>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Ön mali kontrole tabi işleme ilişkin gelen yazı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Stratejik Plan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Bütçe Çağrısı (Cari-Yatırım)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Harcama Birimleri Cari ve Yatırım Bütçe Teklifleri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Yılı Merkezi Yönetim Bütçe Kanunu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Yılı Programının Uygulanması, Koordinasyonu ve İzlenmesine Dair Bakanlar Kurulu Kararı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Yılı Yatırım Programı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Ödenek Talep Formu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Bütçe ve Muhasebe Verileri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Banka Ekstresi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Ödeme Emri Belgesi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Taşınır İşlem Fişi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Muhasebe İşlem Fişi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Gelen yazı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Mali konularla ilgili görüş talep yazısı </w:t>
            </w:r>
          </w:p>
          <w:p w:rsidR="00F37745"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Akademik Takvim</w:t>
            </w:r>
          </w:p>
        </w:tc>
        <w:tc>
          <w:tcPr>
            <w:tcW w:w="3379" w:type="dxa"/>
          </w:tcPr>
          <w:p w:rsid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Ön mali kontrol sonucuna göre düzenlenen yazılı görüş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Kastamonu Üniversitesi Cari ve Yatırım Bütçe teklifleri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Kastamonu Üniversitesi Özel Bütçe Kanun Tasarısı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Ödenek Gönderme Belgesi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Yatırım İzleme ve Değerlendirme Raporu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Kurumsal Mali Durum ve Beklentiler Raporu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Gönderme Emri</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Giden Yazı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 xml:space="preserve">Kesin Hesap Kanun Tasarısı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Mali konularda verilen görüş yazısı</w:t>
            </w:r>
          </w:p>
          <w:p w:rsidR="00F37745" w:rsidRPr="00340128" w:rsidRDefault="00F37745" w:rsidP="00340128">
            <w:pPr>
              <w:pStyle w:val="ListeParagraf"/>
              <w:spacing w:line="360" w:lineRule="auto"/>
              <w:rPr>
                <w:rFonts w:ascii="Times New Roman" w:hAnsi="Times New Roman" w:cs="Times New Roman"/>
              </w:rPr>
            </w:pPr>
          </w:p>
        </w:tc>
        <w:tc>
          <w:tcPr>
            <w:tcW w:w="3379" w:type="dxa"/>
          </w:tcPr>
          <w:p w:rsid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Ön mali kontrol sonucuna göre düzenlenen yazılı görüş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Kastamonu Üniversitesi Cari ve Yatırım Bütçe teklifleri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Kastamonu Üniversitesi Özel Bütçe Kanun Tasarısı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Ödenek Gönderme Belgesi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Yatırım İzleme ve Değerlendirme Raporu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Kurumsal Mali Durum ve Beklentiler Raporu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Gönderme Emri</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Giden Yazı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Kesin Hesap Kanun Tasarısı </w:t>
            </w:r>
          </w:p>
          <w:p w:rsidR="00340128" w:rsidRPr="00340128" w:rsidRDefault="00340128" w:rsidP="00340128">
            <w:pPr>
              <w:pStyle w:val="ListeParagraf"/>
              <w:numPr>
                <w:ilvl w:val="0"/>
                <w:numId w:val="1"/>
              </w:numPr>
              <w:spacing w:line="360" w:lineRule="auto"/>
              <w:rPr>
                <w:rFonts w:ascii="Times New Roman" w:hAnsi="Times New Roman" w:cs="Times New Roman"/>
              </w:rPr>
            </w:pPr>
            <w:r w:rsidRPr="00340128">
              <w:rPr>
                <w:rFonts w:ascii="Times New Roman" w:hAnsi="Times New Roman" w:cs="Times New Roman"/>
              </w:rPr>
              <w:t>Mali konularda verilen görüş yazısı</w:t>
            </w:r>
          </w:p>
          <w:p w:rsidR="00F37745" w:rsidRPr="00340128" w:rsidRDefault="00F37745" w:rsidP="00340128">
            <w:pPr>
              <w:spacing w:line="360" w:lineRule="auto"/>
              <w:ind w:left="360"/>
              <w:rPr>
                <w:rFonts w:ascii="Times New Roman" w:hAnsi="Times New Roman" w:cs="Times New Roman"/>
              </w:rPr>
            </w:pPr>
          </w:p>
        </w:tc>
      </w:tr>
      <w:bookmarkEnd w:id="0"/>
    </w:tbl>
    <w:p w:rsidR="00340128" w:rsidRDefault="00340128" w:rsidP="00D90B40"/>
    <w:p w:rsidR="00635B91" w:rsidRDefault="00635B91" w:rsidP="00D90B40">
      <w:pPr>
        <w:rPr>
          <w:rFonts w:ascii="Times New Roman" w:hAnsi="Times New Roman" w:cs="Times New Roman"/>
          <w:b/>
          <w:sz w:val="20"/>
          <w:szCs w:val="20"/>
        </w:rPr>
      </w:pPr>
    </w:p>
    <w:p w:rsidR="00983465" w:rsidRDefault="00E772FA" w:rsidP="00D90B40">
      <w:pPr>
        <w:rPr>
          <w:rFonts w:ascii="Times New Roman" w:hAnsi="Times New Roman" w:cs="Times New Roman"/>
          <w:b/>
          <w:sz w:val="20"/>
          <w:szCs w:val="20"/>
        </w:rPr>
      </w:pPr>
      <w:r w:rsidRPr="0057025A">
        <w:rPr>
          <w:rFonts w:ascii="Times New Roman" w:hAnsi="Times New Roman" w:cs="Times New Roman"/>
          <w:b/>
          <w:sz w:val="20"/>
          <w:szCs w:val="20"/>
        </w:rPr>
        <w:t>FAALİYETLER</w:t>
      </w:r>
    </w:p>
    <w:p w:rsidR="00340128" w:rsidRPr="00593799" w:rsidRDefault="00340128" w:rsidP="00D90B40">
      <w:pPr>
        <w:rPr>
          <w:rFonts w:ascii="Times New Roman" w:hAnsi="Times New Roman" w:cs="Times New Roman"/>
          <w:b/>
          <w:sz w:val="20"/>
          <w:szCs w:val="20"/>
        </w:rPr>
      </w:pPr>
      <w:r w:rsidRPr="00340128">
        <w:rPr>
          <w:rFonts w:ascii="Times New Roman" w:hAnsi="Times New Roman" w:cs="Times New Roman"/>
          <w:b/>
          <w:sz w:val="20"/>
          <w:szCs w:val="20"/>
        </w:rPr>
        <w:lastRenderedPageBreak/>
        <w:t>F4.2.1 Ön Mali Kontrol İşlemleri</w:t>
      </w:r>
    </w:p>
    <w:tbl>
      <w:tblPr>
        <w:tblStyle w:val="TabloKlavuzu"/>
        <w:tblW w:w="10207" w:type="dxa"/>
        <w:tblInd w:w="-431" w:type="dxa"/>
        <w:tblLook w:val="04A0" w:firstRow="1" w:lastRow="0" w:firstColumn="1" w:lastColumn="0" w:noHBand="0" w:noVBand="1"/>
      </w:tblPr>
      <w:tblGrid>
        <w:gridCol w:w="2396"/>
        <w:gridCol w:w="2566"/>
        <w:gridCol w:w="2972"/>
        <w:gridCol w:w="2273"/>
      </w:tblGrid>
      <w:tr w:rsidR="0057025A" w:rsidTr="005653AF">
        <w:trPr>
          <w:trHeight w:val="445"/>
        </w:trPr>
        <w:tc>
          <w:tcPr>
            <w:tcW w:w="10207" w:type="dxa"/>
            <w:gridSpan w:val="4"/>
          </w:tcPr>
          <w:p w:rsidR="0057025A" w:rsidRPr="003200C4" w:rsidRDefault="0057025A" w:rsidP="003647D5">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00340128" w:rsidRPr="00340128">
              <w:rPr>
                <w:rFonts w:ascii="Times New Roman" w:hAnsi="Times New Roman" w:cs="Times New Roman"/>
                <w:sz w:val="20"/>
                <w:szCs w:val="20"/>
              </w:rPr>
              <w:t>Üniversitemizin stratejik amaç ve hedefleri doğrultusunda mali kaynaklarımızın etkili, ekonomik ve verimli bir şekilde elde edilmesini ve kullanılmasını, hesap verebilirliği ve mali saydamlığı sağlamak üzere ön mali kontrolü düzenlemek.</w:t>
            </w:r>
          </w:p>
        </w:tc>
      </w:tr>
      <w:tr w:rsidR="0057025A" w:rsidTr="00A30F62">
        <w:trPr>
          <w:trHeight w:val="368"/>
        </w:trPr>
        <w:tc>
          <w:tcPr>
            <w:tcW w:w="10207" w:type="dxa"/>
            <w:gridSpan w:val="4"/>
          </w:tcPr>
          <w:p w:rsidR="0057025A" w:rsidRPr="0006390B" w:rsidRDefault="0057025A" w:rsidP="003647D5">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1468A2" w:rsidTr="0006390B">
        <w:trPr>
          <w:trHeight w:val="420"/>
        </w:trPr>
        <w:tc>
          <w:tcPr>
            <w:tcW w:w="2396" w:type="dxa"/>
          </w:tcPr>
          <w:p w:rsidR="0057025A" w:rsidRPr="005653AF" w:rsidRDefault="0057025A" w:rsidP="00A3521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566" w:type="dxa"/>
          </w:tcPr>
          <w:p w:rsidR="0057025A" w:rsidRPr="005653AF" w:rsidRDefault="0057025A" w:rsidP="00A3521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2972" w:type="dxa"/>
          </w:tcPr>
          <w:p w:rsidR="0057025A" w:rsidRPr="005653AF" w:rsidRDefault="0057025A" w:rsidP="00D90B40">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57025A" w:rsidRPr="005653AF" w:rsidRDefault="0057025A" w:rsidP="0057025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468A2" w:rsidTr="00A30F62">
        <w:trPr>
          <w:trHeight w:val="6704"/>
        </w:trPr>
        <w:tc>
          <w:tcPr>
            <w:tcW w:w="2396" w:type="dxa"/>
          </w:tcPr>
          <w:p w:rsidR="00340128" w:rsidRPr="009A0606" w:rsidRDefault="00340128" w:rsidP="009A0606">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 xml:space="preserve">Ön mali kontrol sonucuna göre düzenlenen yazılı görüş </w:t>
            </w:r>
          </w:p>
          <w:p w:rsidR="00340128" w:rsidRPr="00340128" w:rsidRDefault="00340128" w:rsidP="00340128">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 xml:space="preserve">Kurumsal Mali Durum ve Beklentiler Raporu </w:t>
            </w:r>
          </w:p>
          <w:p w:rsidR="00340128" w:rsidRPr="00340128" w:rsidRDefault="00340128" w:rsidP="00340128">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 xml:space="preserve">Giden Yazı </w:t>
            </w:r>
          </w:p>
          <w:p w:rsidR="00340128" w:rsidRPr="00340128" w:rsidRDefault="00340128" w:rsidP="00340128">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Mali konularda verilen görüş yazısı</w:t>
            </w:r>
          </w:p>
          <w:p w:rsidR="00F237D9" w:rsidRPr="009A0606" w:rsidRDefault="00F237D9" w:rsidP="00774443">
            <w:pPr>
              <w:pStyle w:val="ListeParagraf"/>
              <w:spacing w:line="276" w:lineRule="auto"/>
              <w:ind w:left="360"/>
              <w:rPr>
                <w:rFonts w:ascii="Times New Roman" w:hAnsi="Times New Roman" w:cs="Times New Roman"/>
                <w:color w:val="FF0000"/>
                <w:sz w:val="20"/>
                <w:szCs w:val="20"/>
              </w:rPr>
            </w:pPr>
          </w:p>
        </w:tc>
        <w:tc>
          <w:tcPr>
            <w:tcW w:w="2566" w:type="dxa"/>
          </w:tcPr>
          <w:p w:rsidR="00340128" w:rsidRPr="00340128" w:rsidRDefault="00340128" w:rsidP="00340128">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ORT-Harcama Yetkilisi</w:t>
            </w:r>
          </w:p>
          <w:p w:rsidR="00340128" w:rsidRPr="00340128" w:rsidRDefault="00340128" w:rsidP="00340128">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Rektör</w:t>
            </w:r>
          </w:p>
          <w:p w:rsidR="00340128" w:rsidRPr="00340128" w:rsidRDefault="00340128" w:rsidP="00340128">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SGDB İç Kontrol ve Ön Mali Kontrol Birim Yöneticisi</w:t>
            </w:r>
          </w:p>
          <w:p w:rsidR="00340128" w:rsidRPr="00340128" w:rsidRDefault="00340128" w:rsidP="00340128">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Strateji Geliştirme Daire Başkanı</w:t>
            </w:r>
          </w:p>
          <w:p w:rsidR="0057025A" w:rsidRPr="005653AF" w:rsidRDefault="00340128" w:rsidP="00340128">
            <w:pPr>
              <w:pStyle w:val="ListeParagraf"/>
              <w:numPr>
                <w:ilvl w:val="0"/>
                <w:numId w:val="2"/>
              </w:numPr>
              <w:spacing w:line="276" w:lineRule="auto"/>
              <w:rPr>
                <w:rFonts w:ascii="Times New Roman" w:hAnsi="Times New Roman" w:cs="Times New Roman"/>
                <w:sz w:val="20"/>
                <w:szCs w:val="20"/>
              </w:rPr>
            </w:pPr>
            <w:r w:rsidRPr="00340128">
              <w:rPr>
                <w:rFonts w:ascii="Times New Roman" w:hAnsi="Times New Roman" w:cs="Times New Roman"/>
                <w:sz w:val="20"/>
                <w:szCs w:val="20"/>
              </w:rPr>
              <w:t>SGDB Ön Mali Kontrol Ofis Personeli</w:t>
            </w:r>
          </w:p>
        </w:tc>
        <w:tc>
          <w:tcPr>
            <w:tcW w:w="2972" w:type="dxa"/>
          </w:tcPr>
          <w:p w:rsidR="00A30F62" w:rsidRDefault="00A30F62" w:rsidP="00A30F6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KYS-İA-120 </w:t>
            </w:r>
            <w:r w:rsidRPr="00A30F62">
              <w:rPr>
                <w:rFonts w:ascii="Times New Roman" w:hAnsi="Times New Roman" w:cs="Times New Roman"/>
                <w:sz w:val="20"/>
                <w:szCs w:val="20"/>
              </w:rPr>
              <w:t>Strateji Geliştirme Daire Başkanlığı Yan Ödeme Vize Cetvelleri Ön Mali Kontrol İş Akış Süreci</w:t>
            </w:r>
          </w:p>
          <w:p w:rsidR="00A30F62" w:rsidRDefault="00A30F62" w:rsidP="00A30F6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KYS-İA-121 </w:t>
            </w:r>
            <w:r w:rsidRPr="00A30F62">
              <w:rPr>
                <w:rFonts w:ascii="Times New Roman" w:hAnsi="Times New Roman" w:cs="Times New Roman"/>
                <w:sz w:val="20"/>
                <w:szCs w:val="20"/>
              </w:rPr>
              <w:t>Strateji Geliştirme Daire Başkanlığı Ödeme Emri Belgeleri ve Eklerinin Ön Mali Kontrol İşlemleri İş Akış Süreci</w:t>
            </w:r>
          </w:p>
          <w:p w:rsidR="00F237D9" w:rsidRPr="001468A2" w:rsidRDefault="00F237D9" w:rsidP="00774443">
            <w:pPr>
              <w:pStyle w:val="ListeParagraf"/>
              <w:numPr>
                <w:ilvl w:val="0"/>
                <w:numId w:val="2"/>
              </w:numPr>
              <w:spacing w:line="276" w:lineRule="auto"/>
              <w:jc w:val="both"/>
              <w:rPr>
                <w:rFonts w:ascii="Times New Roman" w:hAnsi="Times New Roman" w:cs="Times New Roman"/>
                <w:sz w:val="20"/>
                <w:szCs w:val="20"/>
              </w:rPr>
            </w:pPr>
          </w:p>
        </w:tc>
        <w:tc>
          <w:tcPr>
            <w:tcW w:w="2273" w:type="dxa"/>
          </w:tcPr>
          <w:p w:rsidR="00A30F62" w:rsidRPr="00A30F62" w:rsidRDefault="009A0606" w:rsidP="00A30F62">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00A30F62" w:rsidRPr="00A30F62">
              <w:rPr>
                <w:rFonts w:ascii="Times New Roman" w:hAnsi="Times New Roman" w:cs="Times New Roman"/>
                <w:sz w:val="20"/>
                <w:szCs w:val="20"/>
              </w:rPr>
              <w:t>BYS</w:t>
            </w:r>
          </w:p>
          <w:p w:rsidR="00A30F62" w:rsidRPr="00A30F62" w:rsidRDefault="00A30F62" w:rsidP="00A30F62">
            <w:pPr>
              <w:pStyle w:val="ListeParagraf"/>
              <w:numPr>
                <w:ilvl w:val="0"/>
                <w:numId w:val="3"/>
              </w:numPr>
              <w:spacing w:line="276" w:lineRule="auto"/>
              <w:jc w:val="both"/>
              <w:rPr>
                <w:rFonts w:ascii="Times New Roman" w:hAnsi="Times New Roman" w:cs="Times New Roman"/>
                <w:sz w:val="20"/>
                <w:szCs w:val="20"/>
              </w:rPr>
            </w:pPr>
            <w:r w:rsidRPr="00A30F62">
              <w:rPr>
                <w:rFonts w:ascii="Times New Roman" w:hAnsi="Times New Roman" w:cs="Times New Roman"/>
                <w:sz w:val="20"/>
                <w:szCs w:val="20"/>
              </w:rPr>
              <w:t>E-Bütçe</w:t>
            </w:r>
          </w:p>
          <w:p w:rsidR="00A30F62" w:rsidRPr="00A30F62" w:rsidRDefault="00A30F62" w:rsidP="00A30F62">
            <w:pPr>
              <w:pStyle w:val="ListeParagraf"/>
              <w:numPr>
                <w:ilvl w:val="0"/>
                <w:numId w:val="3"/>
              </w:numPr>
              <w:spacing w:line="276" w:lineRule="auto"/>
              <w:jc w:val="both"/>
              <w:rPr>
                <w:rFonts w:ascii="Times New Roman" w:hAnsi="Times New Roman" w:cs="Times New Roman"/>
                <w:sz w:val="20"/>
                <w:szCs w:val="20"/>
              </w:rPr>
            </w:pPr>
            <w:r w:rsidRPr="00A30F62">
              <w:rPr>
                <w:rFonts w:ascii="Times New Roman" w:hAnsi="Times New Roman" w:cs="Times New Roman"/>
                <w:sz w:val="20"/>
                <w:szCs w:val="20"/>
              </w:rPr>
              <w:t>Dijital Ortam</w:t>
            </w:r>
          </w:p>
          <w:p w:rsidR="00096234" w:rsidRPr="00A30F62" w:rsidRDefault="00A30F62" w:rsidP="00A30F62">
            <w:pPr>
              <w:pStyle w:val="ListeParagraf"/>
              <w:numPr>
                <w:ilvl w:val="0"/>
                <w:numId w:val="3"/>
              </w:numPr>
              <w:spacing w:line="276" w:lineRule="auto"/>
              <w:jc w:val="both"/>
              <w:rPr>
                <w:rFonts w:ascii="Times New Roman" w:hAnsi="Times New Roman" w:cs="Times New Roman"/>
                <w:sz w:val="20"/>
                <w:szCs w:val="20"/>
              </w:rPr>
            </w:pPr>
            <w:r w:rsidRPr="00A30F62">
              <w:rPr>
                <w:rFonts w:ascii="Times New Roman" w:hAnsi="Times New Roman" w:cs="Times New Roman"/>
                <w:sz w:val="20"/>
                <w:szCs w:val="20"/>
              </w:rPr>
              <w:t>Fiziki Arşiv</w:t>
            </w:r>
          </w:p>
        </w:tc>
      </w:tr>
      <w:tr w:rsidR="001468A2" w:rsidTr="001468A2">
        <w:trPr>
          <w:trHeight w:val="743"/>
        </w:trPr>
        <w:tc>
          <w:tcPr>
            <w:tcW w:w="10207" w:type="dxa"/>
            <w:gridSpan w:val="4"/>
          </w:tcPr>
          <w:p w:rsidR="001468A2" w:rsidRPr="001468A2" w:rsidRDefault="001468A2" w:rsidP="002A3A1A">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A30F62" w:rsidRPr="00A30F62" w:rsidRDefault="00A30F62" w:rsidP="00A30F62">
            <w:pPr>
              <w:pStyle w:val="ListeParagraf"/>
              <w:numPr>
                <w:ilvl w:val="0"/>
                <w:numId w:val="3"/>
              </w:numPr>
              <w:spacing w:line="276" w:lineRule="auto"/>
              <w:jc w:val="both"/>
              <w:rPr>
                <w:rFonts w:ascii="Times New Roman" w:hAnsi="Times New Roman" w:cs="Times New Roman"/>
                <w:sz w:val="20"/>
                <w:szCs w:val="20"/>
              </w:rPr>
            </w:pPr>
            <w:r w:rsidRPr="00A30F62">
              <w:rPr>
                <w:rFonts w:ascii="Times New Roman" w:hAnsi="Times New Roman" w:cs="Times New Roman"/>
                <w:sz w:val="20"/>
                <w:szCs w:val="20"/>
              </w:rPr>
              <w:t>Ön mali kontrol sonucu uygun görüş verilmeyen sözleşmeli personel tip sözleşmelerinin toplam sözleşmeli personel tip sözleşmelerine oranı</w:t>
            </w:r>
          </w:p>
          <w:p w:rsidR="001468A2" w:rsidRPr="001468A2" w:rsidRDefault="00A30F62" w:rsidP="00A30F62">
            <w:pPr>
              <w:pStyle w:val="ListeParagraf"/>
              <w:numPr>
                <w:ilvl w:val="0"/>
                <w:numId w:val="3"/>
              </w:numPr>
              <w:spacing w:line="276" w:lineRule="auto"/>
              <w:jc w:val="both"/>
              <w:rPr>
                <w:rFonts w:ascii="Times New Roman" w:hAnsi="Times New Roman" w:cs="Times New Roman"/>
                <w:color w:val="FF0000"/>
                <w:sz w:val="20"/>
                <w:szCs w:val="20"/>
              </w:rPr>
            </w:pPr>
            <w:r w:rsidRPr="00A30F62">
              <w:rPr>
                <w:rFonts w:ascii="Times New Roman" w:hAnsi="Times New Roman" w:cs="Times New Roman"/>
                <w:sz w:val="20"/>
                <w:szCs w:val="20"/>
              </w:rPr>
              <w:t>Ön mali kontrol sonucu uygun görüş verilmeyen taahhüt evrakı ve sözleşme tasarılarının toplam taahhüt evrakı ve sözleşme tasarılarına oranı</w:t>
            </w:r>
          </w:p>
        </w:tc>
      </w:tr>
      <w:tr w:rsidR="00D90B40" w:rsidTr="00A30F62">
        <w:trPr>
          <w:trHeight w:val="709"/>
        </w:trPr>
        <w:tc>
          <w:tcPr>
            <w:tcW w:w="10207" w:type="dxa"/>
            <w:gridSpan w:val="4"/>
          </w:tcPr>
          <w:p w:rsidR="00D90B40" w:rsidRPr="00D90B40" w:rsidRDefault="00D90B40" w:rsidP="002A3A1A">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D90B40" w:rsidRPr="00D90B40" w:rsidRDefault="00A30F62" w:rsidP="00A30F62">
            <w:pPr>
              <w:pStyle w:val="ListeParagraf"/>
              <w:numPr>
                <w:ilvl w:val="0"/>
                <w:numId w:val="9"/>
              </w:numPr>
              <w:spacing w:line="276" w:lineRule="auto"/>
              <w:rPr>
                <w:rFonts w:ascii="Times New Roman" w:hAnsi="Times New Roman" w:cs="Times New Roman"/>
                <w:sz w:val="20"/>
                <w:szCs w:val="20"/>
              </w:rPr>
            </w:pPr>
            <w:r w:rsidRPr="00A30F62">
              <w:rPr>
                <w:rFonts w:ascii="Times New Roman" w:hAnsi="Times New Roman" w:cs="Times New Roman"/>
                <w:sz w:val="20"/>
                <w:szCs w:val="20"/>
              </w:rPr>
              <w:t>Ön mali kontrole tabi bir işlemin ön mali kontrole gönderilmemesi nedeniyle mevzuata aykırı bir işlemin gerçekleşmesi</w:t>
            </w:r>
          </w:p>
        </w:tc>
      </w:tr>
      <w:tr w:rsidR="0006390B" w:rsidTr="00A30F62">
        <w:trPr>
          <w:trHeight w:val="729"/>
        </w:trPr>
        <w:tc>
          <w:tcPr>
            <w:tcW w:w="10207" w:type="dxa"/>
            <w:gridSpan w:val="4"/>
          </w:tcPr>
          <w:p w:rsidR="0006390B" w:rsidRPr="0006390B" w:rsidRDefault="0006390B" w:rsidP="002A3A1A">
            <w:pPr>
              <w:pStyle w:val="ListeParagraf"/>
              <w:spacing w:line="276" w:lineRule="auto"/>
              <w:ind w:left="360"/>
              <w:rPr>
                <w:rFonts w:ascii="Times New Roman" w:hAnsi="Times New Roman" w:cs="Times New Roman"/>
                <w:b/>
                <w:bCs/>
                <w:sz w:val="20"/>
                <w:szCs w:val="20"/>
              </w:rPr>
            </w:pPr>
            <w:r w:rsidRPr="0006390B">
              <w:rPr>
                <w:rFonts w:ascii="Times New Roman" w:hAnsi="Times New Roman" w:cs="Times New Roman"/>
                <w:b/>
                <w:bCs/>
                <w:sz w:val="20"/>
                <w:szCs w:val="20"/>
              </w:rPr>
              <w:t>Fırsatlar:</w:t>
            </w:r>
          </w:p>
          <w:p w:rsidR="0006390B" w:rsidRPr="006D26B4" w:rsidRDefault="00A30F62" w:rsidP="00A30F62">
            <w:pPr>
              <w:pStyle w:val="ListeParagraf"/>
              <w:numPr>
                <w:ilvl w:val="0"/>
                <w:numId w:val="9"/>
              </w:numPr>
              <w:spacing w:line="276" w:lineRule="auto"/>
              <w:rPr>
                <w:rFonts w:ascii="Times New Roman" w:hAnsi="Times New Roman" w:cs="Times New Roman"/>
                <w:bCs/>
                <w:sz w:val="20"/>
                <w:szCs w:val="20"/>
              </w:rPr>
            </w:pPr>
            <w:r w:rsidRPr="00A30F62">
              <w:rPr>
                <w:rFonts w:ascii="Times New Roman" w:hAnsi="Times New Roman" w:cs="Times New Roman"/>
                <w:bCs/>
                <w:sz w:val="20"/>
                <w:szCs w:val="20"/>
              </w:rPr>
              <w:t>Faaliyetin yürütülmesinde destekleyici mevzuatın bulunması</w:t>
            </w:r>
          </w:p>
        </w:tc>
      </w:tr>
    </w:tbl>
    <w:p w:rsidR="00E772FA" w:rsidRDefault="00E772FA">
      <w:pPr>
        <w:rPr>
          <w:rFonts w:ascii="Times New Roman" w:hAnsi="Times New Roman" w:cs="Times New Roman"/>
          <w:b/>
        </w:rPr>
      </w:pPr>
    </w:p>
    <w:p w:rsidR="009B6499" w:rsidRDefault="009B6499">
      <w:pPr>
        <w:rPr>
          <w:rFonts w:ascii="Times New Roman" w:hAnsi="Times New Roman" w:cs="Times New Roman"/>
          <w:b/>
        </w:rPr>
      </w:pPr>
    </w:p>
    <w:p w:rsidR="00774443" w:rsidRDefault="00774443">
      <w:pPr>
        <w:rPr>
          <w:rFonts w:ascii="Times New Roman" w:hAnsi="Times New Roman" w:cs="Times New Roman"/>
          <w:b/>
        </w:rPr>
      </w:pPr>
    </w:p>
    <w:p w:rsidR="00F237D9" w:rsidRDefault="00F237D9">
      <w:pPr>
        <w:rPr>
          <w:rFonts w:ascii="Times New Roman" w:hAnsi="Times New Roman" w:cs="Times New Roman"/>
          <w:b/>
        </w:rPr>
      </w:pPr>
    </w:p>
    <w:p w:rsidR="002A3A1A" w:rsidRDefault="00B056F6">
      <w:pPr>
        <w:rPr>
          <w:rFonts w:ascii="Times New Roman" w:hAnsi="Times New Roman" w:cs="Times New Roman"/>
          <w:b/>
        </w:rPr>
      </w:pPr>
      <w:r w:rsidRPr="00B056F6">
        <w:rPr>
          <w:rFonts w:ascii="Times New Roman" w:hAnsi="Times New Roman" w:cs="Times New Roman"/>
          <w:b/>
        </w:rPr>
        <w:lastRenderedPageBreak/>
        <w:t>F4.2.2 Bütçe İşlemleri</w:t>
      </w:r>
    </w:p>
    <w:tbl>
      <w:tblPr>
        <w:tblStyle w:val="TabloKlavuzu"/>
        <w:tblW w:w="10207" w:type="dxa"/>
        <w:tblInd w:w="-431" w:type="dxa"/>
        <w:tblLook w:val="04A0" w:firstRow="1" w:lastRow="0" w:firstColumn="1" w:lastColumn="0" w:noHBand="0" w:noVBand="1"/>
      </w:tblPr>
      <w:tblGrid>
        <w:gridCol w:w="2396"/>
        <w:gridCol w:w="2566"/>
        <w:gridCol w:w="2972"/>
        <w:gridCol w:w="2273"/>
      </w:tblGrid>
      <w:tr w:rsidR="00B056F6" w:rsidTr="00A85483">
        <w:trPr>
          <w:trHeight w:val="445"/>
        </w:trPr>
        <w:tc>
          <w:tcPr>
            <w:tcW w:w="10207" w:type="dxa"/>
            <w:gridSpan w:val="4"/>
          </w:tcPr>
          <w:p w:rsidR="00B056F6" w:rsidRPr="003200C4" w:rsidRDefault="00B056F6" w:rsidP="00B056F6">
            <w:pPr>
              <w:spacing w:line="276" w:lineRule="auto"/>
              <w:rPr>
                <w:rFonts w:ascii="Times New Roman" w:hAnsi="Times New Roman" w:cs="Times New Roman"/>
                <w:b/>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Pr="00B056F6">
              <w:rPr>
                <w:rFonts w:ascii="Times New Roman" w:hAnsi="Times New Roman" w:cs="Times New Roman"/>
                <w:sz w:val="20"/>
                <w:szCs w:val="20"/>
              </w:rPr>
              <w:t>Üniversitemizin stratejik amaç ve hedefleri doğrultusunda mali kaynaklarımızın etkili, ekonomik ve verimli bir şekilde elde edilmesini ve kullanılmasını, hesap verebilirliği ve mali saydamlığı sağlamak üzere üniversite bütçesinin hazırlanmasını ve uygulanmasını sağlamak.</w:t>
            </w:r>
          </w:p>
        </w:tc>
      </w:tr>
      <w:tr w:rsidR="00B056F6" w:rsidTr="00A85483">
        <w:trPr>
          <w:trHeight w:val="368"/>
        </w:trPr>
        <w:tc>
          <w:tcPr>
            <w:tcW w:w="10207" w:type="dxa"/>
            <w:gridSpan w:val="4"/>
          </w:tcPr>
          <w:p w:rsidR="00B056F6" w:rsidRPr="0006390B" w:rsidRDefault="00B056F6" w:rsidP="00A85483">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B056F6" w:rsidTr="00A85483">
        <w:trPr>
          <w:trHeight w:val="420"/>
        </w:trPr>
        <w:tc>
          <w:tcPr>
            <w:tcW w:w="2396"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566"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2972"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B056F6" w:rsidRPr="005653AF" w:rsidRDefault="00B056F6" w:rsidP="00A85483">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B056F6" w:rsidTr="00A85483">
        <w:trPr>
          <w:trHeight w:val="6704"/>
        </w:trPr>
        <w:tc>
          <w:tcPr>
            <w:tcW w:w="2396" w:type="dxa"/>
          </w:tcPr>
          <w:p w:rsid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Üniversite Bütçesi ve Yatırım Programı Hazırlama İşlemleri</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Ayrıntılı Finansman Programı Hazırlama İşlemleri</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 xml:space="preserve">Ödenek Aktarma ve Ekleme İşlemleri </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 xml:space="preserve">Revize İşlemleri </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 xml:space="preserve">Ödenek Gönderme İşlemleri </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 xml:space="preserve">Yatırımların İzlenmesi ve Raporlanması </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Doğrudan Temin Alımlarının Ödenek Kontrolü</w:t>
            </w:r>
          </w:p>
        </w:tc>
        <w:tc>
          <w:tcPr>
            <w:tcW w:w="2566" w:type="dxa"/>
          </w:tcPr>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ORT Bütçe Ofisi Personeli</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ORT-Harcama Yetkilisi</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Rektör</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SGDB Bütçe ve Performans Birimi Personeli</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SGDB Bütçe ve Performans Birimi Yöneticisi</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SGDB Muhasebe ve Kesin Hesap Raporlama Birimi Sorumlusu</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SGDB Muhasebe ve Kesin Hesap Raporlama Birimi Yöneticisi</w:t>
            </w:r>
          </w:p>
          <w:p w:rsidR="00B056F6" w:rsidRPr="00B056F6"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SGDB Muhasebe ve Kesin Hesap Raporlama Ofis Personeli</w:t>
            </w:r>
          </w:p>
          <w:p w:rsidR="00B056F6" w:rsidRPr="005653AF" w:rsidRDefault="00B056F6" w:rsidP="00B056F6">
            <w:pPr>
              <w:pStyle w:val="ListeParagraf"/>
              <w:numPr>
                <w:ilvl w:val="0"/>
                <w:numId w:val="2"/>
              </w:numPr>
              <w:spacing w:line="276" w:lineRule="auto"/>
              <w:rPr>
                <w:rFonts w:ascii="Times New Roman" w:hAnsi="Times New Roman" w:cs="Times New Roman"/>
                <w:sz w:val="20"/>
                <w:szCs w:val="20"/>
              </w:rPr>
            </w:pPr>
            <w:r w:rsidRPr="00B056F6">
              <w:rPr>
                <w:rFonts w:ascii="Times New Roman" w:hAnsi="Times New Roman" w:cs="Times New Roman"/>
                <w:sz w:val="20"/>
                <w:szCs w:val="20"/>
              </w:rPr>
              <w:t>Strateji Geliştirme Daire Başkanı</w:t>
            </w:r>
          </w:p>
        </w:tc>
        <w:tc>
          <w:tcPr>
            <w:tcW w:w="2972" w:type="dxa"/>
          </w:tcPr>
          <w:p w:rsidR="00B056F6" w:rsidRDefault="00982ADD" w:rsidP="00A85483">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KYS-FRM-113 Ödenek Talep Formu</w:t>
            </w:r>
          </w:p>
          <w:p w:rsidR="00982ADD" w:rsidRDefault="00982ADD" w:rsidP="00982ADD">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KYS-İA-146 </w:t>
            </w:r>
            <w:r w:rsidRPr="00982ADD">
              <w:rPr>
                <w:rFonts w:ascii="Times New Roman" w:hAnsi="Times New Roman" w:cs="Times New Roman"/>
                <w:sz w:val="20"/>
                <w:szCs w:val="20"/>
              </w:rPr>
              <w:t>Strateji Geliştirme Daire Başkanlığı Hazine Yardımı ve Tahakkuk İşlemleri İş Akış Süreci</w:t>
            </w:r>
          </w:p>
          <w:p w:rsidR="00982ADD" w:rsidRDefault="00982ADD" w:rsidP="00982ADD">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KYS-İA-112 </w:t>
            </w:r>
            <w:r w:rsidRPr="00982ADD">
              <w:rPr>
                <w:rFonts w:ascii="Times New Roman" w:hAnsi="Times New Roman" w:cs="Times New Roman"/>
                <w:sz w:val="20"/>
                <w:szCs w:val="20"/>
              </w:rPr>
              <w:t>Strateji Geliştirme Daire Başkanlığı Ödenek Gönderme Belgesi İş Akış Süreci</w:t>
            </w:r>
          </w:p>
          <w:p w:rsidR="00982ADD" w:rsidRDefault="00982ADD" w:rsidP="00982ADD">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KYS-İA-109 </w:t>
            </w:r>
            <w:r w:rsidRPr="00982ADD">
              <w:rPr>
                <w:rFonts w:ascii="Times New Roman" w:hAnsi="Times New Roman" w:cs="Times New Roman"/>
                <w:sz w:val="20"/>
                <w:szCs w:val="20"/>
              </w:rPr>
              <w:t>Strateji Geliştirme Daire Başkanlığı Gelir Fazlası Ödenek Kaydı İş Akış Süreci</w:t>
            </w:r>
          </w:p>
          <w:p w:rsidR="00982ADD" w:rsidRPr="001468A2" w:rsidRDefault="00982ADD" w:rsidP="00982ADD">
            <w:pPr>
              <w:pStyle w:val="ListeParagraf"/>
              <w:numPr>
                <w:ilvl w:val="0"/>
                <w:numId w:val="2"/>
              </w:numPr>
              <w:spacing w:line="276" w:lineRule="auto"/>
              <w:jc w:val="both"/>
              <w:rPr>
                <w:rFonts w:ascii="Times New Roman" w:hAnsi="Times New Roman" w:cs="Times New Roman"/>
                <w:sz w:val="20"/>
                <w:szCs w:val="20"/>
              </w:rPr>
            </w:pPr>
          </w:p>
        </w:tc>
        <w:tc>
          <w:tcPr>
            <w:tcW w:w="2273" w:type="dxa"/>
          </w:tcPr>
          <w:p w:rsidR="00B056F6" w:rsidRPr="00B056F6" w:rsidRDefault="00982ADD" w:rsidP="00B056F6">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00B056F6" w:rsidRPr="00B056F6">
              <w:rPr>
                <w:rFonts w:ascii="Times New Roman" w:hAnsi="Times New Roman" w:cs="Times New Roman"/>
                <w:sz w:val="20"/>
                <w:szCs w:val="20"/>
              </w:rPr>
              <w:t>BYS</w:t>
            </w:r>
          </w:p>
          <w:p w:rsidR="00B056F6" w:rsidRPr="00982ADD" w:rsidRDefault="00B056F6" w:rsidP="00982ADD">
            <w:pPr>
              <w:pStyle w:val="ListeParagraf"/>
              <w:numPr>
                <w:ilvl w:val="0"/>
                <w:numId w:val="3"/>
              </w:numPr>
              <w:spacing w:line="276" w:lineRule="auto"/>
              <w:jc w:val="both"/>
              <w:rPr>
                <w:rFonts w:ascii="Times New Roman" w:hAnsi="Times New Roman" w:cs="Times New Roman"/>
                <w:sz w:val="20"/>
                <w:szCs w:val="20"/>
              </w:rPr>
            </w:pPr>
            <w:r w:rsidRPr="00982ADD">
              <w:rPr>
                <w:rFonts w:ascii="Times New Roman" w:hAnsi="Times New Roman" w:cs="Times New Roman"/>
                <w:sz w:val="20"/>
                <w:szCs w:val="20"/>
              </w:rPr>
              <w:t>E-Bütçe</w:t>
            </w:r>
          </w:p>
          <w:p w:rsidR="00B056F6" w:rsidRPr="00982ADD" w:rsidRDefault="00B056F6" w:rsidP="00982ADD">
            <w:pPr>
              <w:pStyle w:val="ListeParagraf"/>
              <w:numPr>
                <w:ilvl w:val="0"/>
                <w:numId w:val="3"/>
              </w:numPr>
              <w:spacing w:line="276" w:lineRule="auto"/>
              <w:jc w:val="both"/>
              <w:rPr>
                <w:rFonts w:ascii="Times New Roman" w:hAnsi="Times New Roman" w:cs="Times New Roman"/>
                <w:sz w:val="20"/>
                <w:szCs w:val="20"/>
              </w:rPr>
            </w:pPr>
            <w:r w:rsidRPr="00982ADD">
              <w:rPr>
                <w:rFonts w:ascii="Times New Roman" w:hAnsi="Times New Roman" w:cs="Times New Roman"/>
                <w:sz w:val="20"/>
                <w:szCs w:val="20"/>
              </w:rPr>
              <w:t>Dijital Ortam</w:t>
            </w:r>
          </w:p>
          <w:p w:rsidR="00B056F6" w:rsidRPr="00982ADD" w:rsidRDefault="00B056F6" w:rsidP="00982ADD">
            <w:pPr>
              <w:pStyle w:val="ListeParagraf"/>
              <w:numPr>
                <w:ilvl w:val="0"/>
                <w:numId w:val="3"/>
              </w:numPr>
              <w:spacing w:line="276" w:lineRule="auto"/>
              <w:jc w:val="both"/>
              <w:rPr>
                <w:rFonts w:ascii="Times New Roman" w:hAnsi="Times New Roman" w:cs="Times New Roman"/>
                <w:sz w:val="20"/>
                <w:szCs w:val="20"/>
              </w:rPr>
            </w:pPr>
            <w:r w:rsidRPr="00982ADD">
              <w:rPr>
                <w:rFonts w:ascii="Times New Roman" w:hAnsi="Times New Roman" w:cs="Times New Roman"/>
                <w:sz w:val="20"/>
                <w:szCs w:val="20"/>
              </w:rPr>
              <w:t>Fiziki Arşiv</w:t>
            </w:r>
          </w:p>
        </w:tc>
      </w:tr>
      <w:tr w:rsidR="00B056F6" w:rsidTr="00A85483">
        <w:trPr>
          <w:trHeight w:val="743"/>
        </w:trPr>
        <w:tc>
          <w:tcPr>
            <w:tcW w:w="10207" w:type="dxa"/>
            <w:gridSpan w:val="4"/>
          </w:tcPr>
          <w:p w:rsidR="00B056F6" w:rsidRPr="001468A2" w:rsidRDefault="00B056F6" w:rsidP="00A85483">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B056F6" w:rsidRPr="0014185F" w:rsidRDefault="006252DE" w:rsidP="006252DE">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Üniversite bütçe ödeneğinin yılsonu gerçekleşmeye oranı</w:t>
            </w:r>
            <w:r w:rsidR="0014185F" w:rsidRPr="0014185F">
              <w:rPr>
                <w:rFonts w:ascii="Times New Roman" w:hAnsi="Times New Roman" w:cs="Times New Roman"/>
                <w:sz w:val="20"/>
                <w:szCs w:val="20"/>
              </w:rPr>
              <w:t xml:space="preserve"> </w:t>
            </w:r>
          </w:p>
        </w:tc>
      </w:tr>
      <w:tr w:rsidR="00B056F6" w:rsidTr="00A85483">
        <w:trPr>
          <w:trHeight w:val="709"/>
        </w:trPr>
        <w:tc>
          <w:tcPr>
            <w:tcW w:w="10207" w:type="dxa"/>
            <w:gridSpan w:val="4"/>
          </w:tcPr>
          <w:p w:rsidR="00B056F6" w:rsidRPr="00D90B40" w:rsidRDefault="00B056F6" w:rsidP="00A85483">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982ADD" w:rsidRPr="00982ADD" w:rsidRDefault="00982ADD" w:rsidP="00982ADD">
            <w:pPr>
              <w:pStyle w:val="ListeParagraf"/>
              <w:numPr>
                <w:ilvl w:val="0"/>
                <w:numId w:val="9"/>
              </w:numPr>
              <w:spacing w:line="276" w:lineRule="auto"/>
              <w:rPr>
                <w:rFonts w:ascii="Times New Roman" w:hAnsi="Times New Roman" w:cs="Times New Roman"/>
                <w:sz w:val="20"/>
                <w:szCs w:val="20"/>
              </w:rPr>
            </w:pPr>
            <w:r w:rsidRPr="00982ADD">
              <w:rPr>
                <w:rFonts w:ascii="Times New Roman" w:hAnsi="Times New Roman" w:cs="Times New Roman"/>
                <w:sz w:val="20"/>
                <w:szCs w:val="20"/>
              </w:rPr>
              <w:t>Ödenek ihtiyacı olan birimin ödenek talep formunu Genelgeye uygun doldurulmaması nedeniyle hizmetlerde aksama meydana gelmesi.</w:t>
            </w:r>
          </w:p>
          <w:p w:rsidR="00B056F6" w:rsidRPr="00D90B40" w:rsidRDefault="00982ADD" w:rsidP="00982ADD">
            <w:pPr>
              <w:pStyle w:val="ListeParagraf"/>
              <w:numPr>
                <w:ilvl w:val="0"/>
                <w:numId w:val="9"/>
              </w:numPr>
              <w:spacing w:line="276" w:lineRule="auto"/>
              <w:rPr>
                <w:rFonts w:ascii="Times New Roman" w:hAnsi="Times New Roman" w:cs="Times New Roman"/>
                <w:sz w:val="20"/>
                <w:szCs w:val="20"/>
              </w:rPr>
            </w:pPr>
            <w:r w:rsidRPr="00982ADD">
              <w:rPr>
                <w:rFonts w:ascii="Times New Roman" w:hAnsi="Times New Roman" w:cs="Times New Roman"/>
                <w:sz w:val="20"/>
                <w:szCs w:val="20"/>
              </w:rPr>
              <w:t>Birim bütçe tekliflerinin zamanında gelmemesi veya hatalı gelmesi nedeniyle kurum bütçe tekliflerinin sağlıklı şekilde hazırlanamaması</w:t>
            </w:r>
          </w:p>
        </w:tc>
      </w:tr>
      <w:tr w:rsidR="00B056F6" w:rsidTr="00A85483">
        <w:trPr>
          <w:trHeight w:val="729"/>
        </w:trPr>
        <w:tc>
          <w:tcPr>
            <w:tcW w:w="10207" w:type="dxa"/>
            <w:gridSpan w:val="4"/>
          </w:tcPr>
          <w:p w:rsidR="00B056F6" w:rsidRPr="0006390B" w:rsidRDefault="00B056F6" w:rsidP="00A85483">
            <w:pPr>
              <w:pStyle w:val="ListeParagraf"/>
              <w:spacing w:line="276" w:lineRule="auto"/>
              <w:ind w:left="360"/>
              <w:rPr>
                <w:rFonts w:ascii="Times New Roman" w:hAnsi="Times New Roman" w:cs="Times New Roman"/>
                <w:b/>
                <w:bCs/>
                <w:sz w:val="20"/>
                <w:szCs w:val="20"/>
              </w:rPr>
            </w:pPr>
            <w:r w:rsidRPr="0006390B">
              <w:rPr>
                <w:rFonts w:ascii="Times New Roman" w:hAnsi="Times New Roman" w:cs="Times New Roman"/>
                <w:b/>
                <w:bCs/>
                <w:sz w:val="20"/>
                <w:szCs w:val="20"/>
              </w:rPr>
              <w:t>Fırsatlar:</w:t>
            </w:r>
          </w:p>
          <w:p w:rsidR="00B056F6" w:rsidRPr="006D26B4" w:rsidRDefault="00982ADD" w:rsidP="00982ADD">
            <w:pPr>
              <w:pStyle w:val="ListeParagraf"/>
              <w:numPr>
                <w:ilvl w:val="0"/>
                <w:numId w:val="9"/>
              </w:numPr>
              <w:spacing w:line="276" w:lineRule="auto"/>
              <w:rPr>
                <w:rFonts w:ascii="Times New Roman" w:hAnsi="Times New Roman" w:cs="Times New Roman"/>
                <w:bCs/>
                <w:sz w:val="20"/>
                <w:szCs w:val="20"/>
              </w:rPr>
            </w:pPr>
            <w:r w:rsidRPr="00982ADD">
              <w:rPr>
                <w:rFonts w:ascii="Times New Roman" w:hAnsi="Times New Roman" w:cs="Times New Roman"/>
                <w:bCs/>
                <w:sz w:val="20"/>
                <w:szCs w:val="20"/>
              </w:rPr>
              <w:t>Faaliyetin yürütülmesinde destekleyici mevzuatın bulunması</w:t>
            </w:r>
          </w:p>
        </w:tc>
      </w:tr>
    </w:tbl>
    <w:p w:rsidR="002A3A1A" w:rsidRDefault="002A3A1A">
      <w:pPr>
        <w:rPr>
          <w:rFonts w:ascii="Times New Roman" w:hAnsi="Times New Roman" w:cs="Times New Roman"/>
          <w:b/>
        </w:rPr>
      </w:pPr>
    </w:p>
    <w:p w:rsidR="00F237D9" w:rsidRDefault="00F237D9">
      <w:pPr>
        <w:rPr>
          <w:rFonts w:ascii="Times New Roman" w:hAnsi="Times New Roman" w:cs="Times New Roman"/>
          <w:b/>
        </w:rPr>
      </w:pPr>
    </w:p>
    <w:p w:rsidR="0014185F" w:rsidRDefault="0014185F">
      <w:pPr>
        <w:rPr>
          <w:rFonts w:ascii="Times New Roman" w:hAnsi="Times New Roman" w:cs="Times New Roman"/>
          <w:b/>
        </w:rPr>
      </w:pPr>
    </w:p>
    <w:p w:rsidR="0014185F" w:rsidRDefault="0014185F">
      <w:pPr>
        <w:rPr>
          <w:rFonts w:ascii="Times New Roman" w:hAnsi="Times New Roman" w:cs="Times New Roman"/>
          <w:b/>
        </w:rPr>
      </w:pPr>
    </w:p>
    <w:p w:rsidR="0090404B" w:rsidRDefault="003F502E">
      <w:pPr>
        <w:rPr>
          <w:rFonts w:ascii="Times New Roman" w:hAnsi="Times New Roman" w:cs="Times New Roman"/>
          <w:b/>
        </w:rPr>
      </w:pPr>
      <w:r w:rsidRPr="003F502E">
        <w:rPr>
          <w:rFonts w:ascii="Times New Roman" w:hAnsi="Times New Roman" w:cs="Times New Roman"/>
          <w:b/>
        </w:rPr>
        <w:lastRenderedPageBreak/>
        <w:t>F4.2.3 Muhasebe İşlemleri</w:t>
      </w:r>
    </w:p>
    <w:tbl>
      <w:tblPr>
        <w:tblStyle w:val="TabloKlavuzu"/>
        <w:tblW w:w="10207" w:type="dxa"/>
        <w:tblInd w:w="-431" w:type="dxa"/>
        <w:tblLook w:val="04A0" w:firstRow="1" w:lastRow="0" w:firstColumn="1" w:lastColumn="0" w:noHBand="0" w:noVBand="1"/>
      </w:tblPr>
      <w:tblGrid>
        <w:gridCol w:w="2396"/>
        <w:gridCol w:w="2566"/>
        <w:gridCol w:w="2972"/>
        <w:gridCol w:w="2273"/>
      </w:tblGrid>
      <w:tr w:rsidR="00B056F6" w:rsidTr="00A85483">
        <w:trPr>
          <w:trHeight w:val="445"/>
        </w:trPr>
        <w:tc>
          <w:tcPr>
            <w:tcW w:w="10207" w:type="dxa"/>
            <w:gridSpan w:val="4"/>
          </w:tcPr>
          <w:p w:rsidR="00B056F6" w:rsidRPr="003200C4" w:rsidRDefault="00B056F6" w:rsidP="00A85483">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003F502E" w:rsidRPr="003F502E">
              <w:rPr>
                <w:rFonts w:ascii="Times New Roman" w:hAnsi="Times New Roman" w:cs="Times New Roman"/>
                <w:sz w:val="20"/>
                <w:szCs w:val="20"/>
              </w:rPr>
              <w:t>Üniversitemizin stratejik amaç ve hedefleri doğrultusunda mali kaynaklarımızın etkili, ekonomik ve verimli bir şekilde elde edilmesini ve kullanılmasını, hesap verebilirliği ve mali saydamlığı sağlamak üzere mali işlemlerin muhasebeleştirilmesini ve raporlanmasını sağlamak.</w:t>
            </w:r>
          </w:p>
        </w:tc>
      </w:tr>
      <w:tr w:rsidR="00B056F6" w:rsidTr="00A85483">
        <w:trPr>
          <w:trHeight w:val="368"/>
        </w:trPr>
        <w:tc>
          <w:tcPr>
            <w:tcW w:w="10207" w:type="dxa"/>
            <w:gridSpan w:val="4"/>
          </w:tcPr>
          <w:p w:rsidR="00B056F6" w:rsidRPr="0006390B" w:rsidRDefault="00B056F6" w:rsidP="00A85483">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B056F6" w:rsidTr="00A85483">
        <w:trPr>
          <w:trHeight w:val="420"/>
        </w:trPr>
        <w:tc>
          <w:tcPr>
            <w:tcW w:w="2396"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566"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2972"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B056F6" w:rsidRPr="005653AF" w:rsidRDefault="00B056F6" w:rsidP="00A85483">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B056F6" w:rsidTr="001A40D0">
        <w:trPr>
          <w:trHeight w:val="10327"/>
        </w:trPr>
        <w:tc>
          <w:tcPr>
            <w:tcW w:w="2396" w:type="dxa"/>
          </w:tcPr>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Nakit Temin İşlemleri</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Gelirlerin Tahsilatının Yapılması</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Gelirlerden Ret ve İade İşlemlerinin Yapılması</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SGK Ödemeleri</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Vergi Ödemeleri</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 xml:space="preserve">Ön Ödeme İşlemleri (Avans ve Krediler) </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Emanet Karakterli Hesaplara İlişkin İşlemler ve Ödemeler</w:t>
            </w:r>
          </w:p>
          <w:p w:rsidR="009A0606" w:rsidRPr="009A0606" w:rsidRDefault="003F502E" w:rsidP="009A0606">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Maaş, Ek Ders ve Fazla Çalışma İle Diğer Özlük Hakları Ödemeleri</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Dönem Başı-Dönem Sonu İşlemleri</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Kesin Hesap ve Raporlama İşlemleri</w:t>
            </w:r>
          </w:p>
          <w:p w:rsidR="00B056F6"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BAP, San-Tez, TÜBİTAK, Mevlana, Farabi, OKA ve AB vb. Proje Ödemeleri</w:t>
            </w:r>
          </w:p>
        </w:tc>
        <w:tc>
          <w:tcPr>
            <w:tcW w:w="2566" w:type="dxa"/>
          </w:tcPr>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ORT-Gerçekleştirme Görevlisi</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ORT-Harcama Yetkilisi</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SGDB Muhasebe ve Kesin Hesap Raporlama Birimi Sorumlusu</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SGDB Muhasebe ve Kesin Hesap Raporlama Birimi Yöneticisi</w:t>
            </w:r>
          </w:p>
          <w:p w:rsidR="003F502E" w:rsidRPr="003F502E"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SGDB Muhasebe ve Kesin Hesap Raporlama Ofis Personeli</w:t>
            </w:r>
          </w:p>
          <w:p w:rsidR="00B056F6" w:rsidRPr="005653AF" w:rsidRDefault="003F502E" w:rsidP="003F502E">
            <w:pPr>
              <w:pStyle w:val="ListeParagraf"/>
              <w:numPr>
                <w:ilvl w:val="0"/>
                <w:numId w:val="2"/>
              </w:numPr>
              <w:spacing w:line="276" w:lineRule="auto"/>
              <w:rPr>
                <w:rFonts w:ascii="Times New Roman" w:hAnsi="Times New Roman" w:cs="Times New Roman"/>
                <w:sz w:val="20"/>
                <w:szCs w:val="20"/>
              </w:rPr>
            </w:pPr>
            <w:r w:rsidRPr="003F502E">
              <w:rPr>
                <w:rFonts w:ascii="Times New Roman" w:hAnsi="Times New Roman" w:cs="Times New Roman"/>
                <w:sz w:val="20"/>
                <w:szCs w:val="20"/>
              </w:rPr>
              <w:t>Strateji Geliştirme Daire Başkanı</w:t>
            </w:r>
          </w:p>
        </w:tc>
        <w:tc>
          <w:tcPr>
            <w:tcW w:w="2972" w:type="dxa"/>
          </w:tcPr>
          <w:p w:rsidR="00B056F6" w:rsidRDefault="003F502E" w:rsidP="003F502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KYS-İA-146 </w:t>
            </w:r>
            <w:r w:rsidRPr="003F502E">
              <w:rPr>
                <w:rFonts w:ascii="Times New Roman" w:hAnsi="Times New Roman" w:cs="Times New Roman"/>
                <w:sz w:val="20"/>
                <w:szCs w:val="20"/>
              </w:rPr>
              <w:t>Strateji Geliştirme Daire Başkanlığı Hazine Yardımı ve Tahakkuk İşlemleri İş Akış Süreci</w:t>
            </w:r>
          </w:p>
          <w:p w:rsidR="003F502E" w:rsidRDefault="003F502E" w:rsidP="003F502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KYS-İA-143 </w:t>
            </w:r>
            <w:r w:rsidRPr="003F502E">
              <w:rPr>
                <w:rFonts w:ascii="Times New Roman" w:hAnsi="Times New Roman" w:cs="Times New Roman"/>
                <w:sz w:val="20"/>
                <w:szCs w:val="20"/>
              </w:rPr>
              <w:t>Strateji Geliştirme Daire Başkanlığı Taşınır Mal Yönetim İşlemleri İş Akış Süreci</w:t>
            </w:r>
          </w:p>
          <w:p w:rsidR="00BD63A6" w:rsidRDefault="00BD63A6" w:rsidP="00BD63A6">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KYS-İA-123 </w:t>
            </w:r>
            <w:r w:rsidRPr="00BD63A6">
              <w:rPr>
                <w:rFonts w:ascii="Times New Roman" w:hAnsi="Times New Roman" w:cs="Times New Roman"/>
                <w:sz w:val="20"/>
                <w:szCs w:val="20"/>
              </w:rPr>
              <w:t>Strateji Geliştirme Daire Başkanlığı Doğrudan Temin ile Mal Alımı, Hizmet Alımı ve Yapım İşi Ödeme Evraklarının Tetkiki İşlemleri İş Akış Süreci</w:t>
            </w:r>
          </w:p>
          <w:p w:rsidR="00BD63A6" w:rsidRDefault="00BD63A6" w:rsidP="00BD63A6">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KYS-İA-132 </w:t>
            </w:r>
            <w:r w:rsidRPr="00BD63A6">
              <w:rPr>
                <w:rFonts w:ascii="Times New Roman" w:hAnsi="Times New Roman" w:cs="Times New Roman"/>
                <w:sz w:val="20"/>
                <w:szCs w:val="20"/>
              </w:rPr>
              <w:t>Strateji Geliştirme Daire Başkanlığı Vergi Ödemeleri İş Akış Süreci</w:t>
            </w:r>
          </w:p>
          <w:p w:rsidR="00BD63A6" w:rsidRDefault="00D33555" w:rsidP="00D33555">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KYS-İA-133 </w:t>
            </w:r>
            <w:r w:rsidRPr="00D33555">
              <w:rPr>
                <w:rFonts w:ascii="Times New Roman" w:hAnsi="Times New Roman" w:cs="Times New Roman"/>
                <w:sz w:val="20"/>
                <w:szCs w:val="20"/>
              </w:rPr>
              <w:t>Strateji Geliştirme Daire Başkanlığı Hakedişlerden Mahsup Edilen Vergi Ödemeleri İş Akış Süreci</w:t>
            </w:r>
          </w:p>
          <w:p w:rsidR="00D33555" w:rsidRDefault="00D33555" w:rsidP="00D33555">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KYS-İA-134 </w:t>
            </w:r>
            <w:r w:rsidRPr="00D33555">
              <w:rPr>
                <w:rFonts w:ascii="Times New Roman" w:hAnsi="Times New Roman" w:cs="Times New Roman"/>
                <w:sz w:val="20"/>
                <w:szCs w:val="20"/>
              </w:rPr>
              <w:t>Strateji Geliştirme Daire Başkanlığı Ön Ödeme İşlemleri (Avans, Kredi ve Akreditif) İş Akış Süreci</w:t>
            </w:r>
          </w:p>
          <w:p w:rsidR="003F502E" w:rsidRDefault="003F502E" w:rsidP="003F502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KYS-İA-012 </w:t>
            </w:r>
            <w:r w:rsidRPr="003F502E">
              <w:rPr>
                <w:rFonts w:ascii="Times New Roman" w:hAnsi="Times New Roman" w:cs="Times New Roman"/>
                <w:sz w:val="20"/>
                <w:szCs w:val="20"/>
              </w:rPr>
              <w:t>Sağlık Kültür ve Spor Daire Başkanlığı Taşınır Mal Giriş-Çıkış İş Akış Süreci</w:t>
            </w:r>
          </w:p>
          <w:p w:rsidR="003F502E" w:rsidRDefault="003F502E" w:rsidP="003F502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KYS-İA-013 </w:t>
            </w:r>
            <w:r w:rsidRPr="003F502E">
              <w:rPr>
                <w:rFonts w:ascii="Times New Roman" w:hAnsi="Times New Roman" w:cs="Times New Roman"/>
                <w:sz w:val="20"/>
                <w:szCs w:val="20"/>
              </w:rPr>
              <w:t>Sağlık Kültür ve Spor Daire Başkanlığı Taşınmaz Kiralama İşlemleri İş Akış Süreci</w:t>
            </w:r>
          </w:p>
          <w:p w:rsidR="003F502E" w:rsidRDefault="003F502E" w:rsidP="003F502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KYS-İA-015 </w:t>
            </w:r>
            <w:r w:rsidRPr="003F502E">
              <w:rPr>
                <w:rFonts w:ascii="Times New Roman" w:hAnsi="Times New Roman" w:cs="Times New Roman"/>
                <w:sz w:val="20"/>
                <w:szCs w:val="20"/>
              </w:rPr>
              <w:t>Sağlık Kültür ve Spor Daire Başkanlığı Yolluk İşlemleri İş Akış Süreci</w:t>
            </w:r>
          </w:p>
          <w:p w:rsidR="00BD63A6" w:rsidRPr="00BD63A6" w:rsidRDefault="00BD63A6" w:rsidP="00BD63A6">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KYS-İA-263 Fakülte İdari Personel Yolluk -</w:t>
            </w:r>
            <w:r w:rsidRPr="00BD63A6">
              <w:rPr>
                <w:rFonts w:ascii="Times New Roman" w:hAnsi="Times New Roman" w:cs="Times New Roman"/>
                <w:sz w:val="20"/>
                <w:szCs w:val="20"/>
              </w:rPr>
              <w:t xml:space="preserve">Yevmiyelerinin Ödenmesi İş </w:t>
            </w:r>
          </w:p>
          <w:p w:rsidR="003F502E" w:rsidRDefault="00BD63A6" w:rsidP="00BD63A6">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D63A6">
              <w:rPr>
                <w:rFonts w:ascii="Times New Roman" w:hAnsi="Times New Roman" w:cs="Times New Roman"/>
                <w:sz w:val="20"/>
                <w:szCs w:val="20"/>
              </w:rPr>
              <w:t xml:space="preserve">Akış Süreci </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KYS-İA-264 </w:t>
            </w:r>
            <w:r w:rsidRPr="00BD63A6">
              <w:rPr>
                <w:rFonts w:ascii="Times New Roman" w:hAnsi="Times New Roman" w:cs="Times New Roman"/>
                <w:sz w:val="20"/>
                <w:szCs w:val="20"/>
              </w:rPr>
              <w:t xml:space="preserve">Fakülte Akademik Personel Yolluk - Yevmiyelerinin Ödenmesi İş Akış Süreci </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KYS-İA-265 </w:t>
            </w:r>
            <w:r w:rsidRPr="00BD63A6">
              <w:rPr>
                <w:rFonts w:ascii="Times New Roman" w:hAnsi="Times New Roman" w:cs="Times New Roman"/>
                <w:sz w:val="20"/>
                <w:szCs w:val="20"/>
              </w:rPr>
              <w:t>Fakülte Malzeme Satın Alma 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KYS-İA-266 </w:t>
            </w:r>
            <w:r w:rsidRPr="00BD63A6">
              <w:rPr>
                <w:rFonts w:ascii="Times New Roman" w:hAnsi="Times New Roman" w:cs="Times New Roman"/>
                <w:sz w:val="20"/>
                <w:szCs w:val="20"/>
              </w:rPr>
              <w:t>Fakülte Maaş İşlemleri 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KYS-İA-267 </w:t>
            </w:r>
            <w:r w:rsidRPr="00BD63A6">
              <w:rPr>
                <w:rFonts w:ascii="Times New Roman" w:hAnsi="Times New Roman" w:cs="Times New Roman"/>
                <w:sz w:val="20"/>
                <w:szCs w:val="20"/>
              </w:rPr>
              <w:t>Fakülte Kısıtlı Maaş İşlemleri 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KYS-İA-268 </w:t>
            </w:r>
            <w:r w:rsidRPr="00BD63A6">
              <w:rPr>
                <w:rFonts w:ascii="Times New Roman" w:hAnsi="Times New Roman" w:cs="Times New Roman"/>
                <w:sz w:val="20"/>
                <w:szCs w:val="20"/>
              </w:rPr>
              <w:t>Fakülte Doğum Yardımı İşlemleri 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KYS-İA-269 </w:t>
            </w:r>
            <w:r w:rsidRPr="00BD63A6">
              <w:rPr>
                <w:rFonts w:ascii="Times New Roman" w:hAnsi="Times New Roman" w:cs="Times New Roman"/>
                <w:sz w:val="20"/>
                <w:szCs w:val="20"/>
              </w:rPr>
              <w:t>Fakülte Ölüm Yardımı İşlemleri 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KYS-İA-270 </w:t>
            </w:r>
            <w:r w:rsidRPr="00BD63A6">
              <w:rPr>
                <w:rFonts w:ascii="Times New Roman" w:hAnsi="Times New Roman" w:cs="Times New Roman"/>
                <w:sz w:val="20"/>
                <w:szCs w:val="20"/>
              </w:rPr>
              <w:t>Fakülte Sürekli Görev Yolluğu İşlemleri 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KYS-İA-271 </w:t>
            </w:r>
            <w:r w:rsidRPr="00BD63A6">
              <w:rPr>
                <w:rFonts w:ascii="Times New Roman" w:hAnsi="Times New Roman" w:cs="Times New Roman"/>
                <w:sz w:val="20"/>
                <w:szCs w:val="20"/>
              </w:rPr>
              <w:t>Fakülte Geçici Görev Yolluğu İşlemleri İş Akış Süreci</w:t>
            </w:r>
          </w:p>
          <w:p w:rsidR="00BD63A6" w:rsidRP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KYS-İA-272 </w:t>
            </w:r>
            <w:r w:rsidRPr="00BD63A6">
              <w:rPr>
                <w:rFonts w:ascii="Times New Roman" w:hAnsi="Times New Roman" w:cs="Times New Roman"/>
                <w:sz w:val="20"/>
                <w:szCs w:val="20"/>
              </w:rPr>
              <w:t xml:space="preserve">Fakülte Naklen Giden Personel İşlemleri </w:t>
            </w:r>
          </w:p>
          <w:p w:rsidR="00BD63A6" w:rsidRDefault="00BD63A6" w:rsidP="00BD63A6">
            <w:pPr>
              <w:pStyle w:val="ListeParagraf"/>
              <w:spacing w:line="276" w:lineRule="auto"/>
              <w:ind w:left="360"/>
              <w:jc w:val="both"/>
              <w:rPr>
                <w:rFonts w:ascii="Times New Roman" w:hAnsi="Times New Roman" w:cs="Times New Roman"/>
                <w:sz w:val="20"/>
                <w:szCs w:val="20"/>
              </w:rPr>
            </w:pPr>
            <w:r w:rsidRPr="00BD63A6">
              <w:rPr>
                <w:rFonts w:ascii="Times New Roman" w:hAnsi="Times New Roman" w:cs="Times New Roman"/>
                <w:sz w:val="20"/>
                <w:szCs w:val="20"/>
              </w:rPr>
              <w:t>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KYS-İA-273 </w:t>
            </w:r>
            <w:r w:rsidRPr="00BD63A6">
              <w:rPr>
                <w:rFonts w:ascii="Times New Roman" w:hAnsi="Times New Roman" w:cs="Times New Roman"/>
                <w:sz w:val="20"/>
                <w:szCs w:val="20"/>
              </w:rPr>
              <w:t>Fakülte İstifa, Askerlik, Ücretsiz İzin İşlemleri 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KYS-İA-274 </w:t>
            </w:r>
            <w:r w:rsidRPr="00BD63A6">
              <w:rPr>
                <w:rFonts w:ascii="Times New Roman" w:hAnsi="Times New Roman" w:cs="Times New Roman"/>
                <w:sz w:val="20"/>
                <w:szCs w:val="20"/>
              </w:rPr>
              <w:t>Fakülte Sınav Ücreti İşlemleri İş Akış Süreci</w:t>
            </w:r>
          </w:p>
          <w:p w:rsidR="00BD63A6" w:rsidRDefault="00BD63A6" w:rsidP="00BD63A6">
            <w:pPr>
              <w:pStyle w:val="ListeParagraf"/>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KYS-İA-275 </w:t>
            </w:r>
            <w:r w:rsidRPr="00BD63A6">
              <w:rPr>
                <w:rFonts w:ascii="Times New Roman" w:hAnsi="Times New Roman" w:cs="Times New Roman"/>
                <w:sz w:val="20"/>
                <w:szCs w:val="20"/>
              </w:rPr>
              <w:t>Fakülte Ek Ders İşlemleri İş Akış Süreci</w:t>
            </w:r>
          </w:p>
          <w:p w:rsidR="00BD63A6" w:rsidRPr="00BD63A6" w:rsidRDefault="00BD63A6" w:rsidP="00BD63A6">
            <w:pPr>
              <w:pStyle w:val="ListeParagraf"/>
              <w:spacing w:line="276" w:lineRule="auto"/>
              <w:ind w:left="360"/>
              <w:jc w:val="both"/>
              <w:rPr>
                <w:rFonts w:ascii="Times New Roman" w:hAnsi="Times New Roman" w:cs="Times New Roman"/>
                <w:sz w:val="20"/>
                <w:szCs w:val="20"/>
              </w:rPr>
            </w:pPr>
          </w:p>
        </w:tc>
        <w:tc>
          <w:tcPr>
            <w:tcW w:w="2273" w:type="dxa"/>
          </w:tcPr>
          <w:p w:rsidR="003F502E" w:rsidRPr="003F502E" w:rsidRDefault="003F502E" w:rsidP="003F502E">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Ü</w:t>
            </w:r>
            <w:r w:rsidRPr="003F502E">
              <w:rPr>
                <w:rFonts w:ascii="Times New Roman" w:hAnsi="Times New Roman" w:cs="Times New Roman"/>
                <w:sz w:val="20"/>
                <w:szCs w:val="20"/>
              </w:rPr>
              <w:t>BYS</w:t>
            </w:r>
          </w:p>
          <w:p w:rsidR="003F502E" w:rsidRPr="003F502E" w:rsidRDefault="003F502E" w:rsidP="003F502E">
            <w:pPr>
              <w:pStyle w:val="ListeParagraf"/>
              <w:numPr>
                <w:ilvl w:val="0"/>
                <w:numId w:val="3"/>
              </w:numPr>
              <w:spacing w:line="276" w:lineRule="auto"/>
              <w:jc w:val="both"/>
              <w:rPr>
                <w:rFonts w:ascii="Times New Roman" w:hAnsi="Times New Roman" w:cs="Times New Roman"/>
                <w:sz w:val="20"/>
                <w:szCs w:val="20"/>
              </w:rPr>
            </w:pPr>
            <w:r w:rsidRPr="003F502E">
              <w:rPr>
                <w:rFonts w:ascii="Times New Roman" w:hAnsi="Times New Roman" w:cs="Times New Roman"/>
                <w:sz w:val="20"/>
                <w:szCs w:val="20"/>
              </w:rPr>
              <w:t>BKMYBS</w:t>
            </w:r>
          </w:p>
          <w:p w:rsidR="003F502E" w:rsidRPr="003F502E" w:rsidRDefault="003F502E" w:rsidP="003F502E">
            <w:pPr>
              <w:pStyle w:val="ListeParagraf"/>
              <w:numPr>
                <w:ilvl w:val="0"/>
                <w:numId w:val="3"/>
              </w:numPr>
              <w:spacing w:line="276" w:lineRule="auto"/>
              <w:jc w:val="both"/>
              <w:rPr>
                <w:rFonts w:ascii="Times New Roman" w:hAnsi="Times New Roman" w:cs="Times New Roman"/>
                <w:sz w:val="20"/>
                <w:szCs w:val="20"/>
              </w:rPr>
            </w:pPr>
            <w:r w:rsidRPr="003F502E">
              <w:rPr>
                <w:rFonts w:ascii="Times New Roman" w:hAnsi="Times New Roman" w:cs="Times New Roman"/>
                <w:sz w:val="20"/>
                <w:szCs w:val="20"/>
              </w:rPr>
              <w:t>KBS</w:t>
            </w:r>
          </w:p>
          <w:p w:rsidR="003F502E" w:rsidRPr="003F502E" w:rsidRDefault="003F502E" w:rsidP="003F502E">
            <w:pPr>
              <w:pStyle w:val="ListeParagraf"/>
              <w:numPr>
                <w:ilvl w:val="0"/>
                <w:numId w:val="3"/>
              </w:numPr>
              <w:spacing w:line="276" w:lineRule="auto"/>
              <w:jc w:val="both"/>
              <w:rPr>
                <w:rFonts w:ascii="Times New Roman" w:hAnsi="Times New Roman" w:cs="Times New Roman"/>
                <w:sz w:val="20"/>
                <w:szCs w:val="20"/>
              </w:rPr>
            </w:pPr>
            <w:r w:rsidRPr="003F502E">
              <w:rPr>
                <w:rFonts w:ascii="Times New Roman" w:hAnsi="Times New Roman" w:cs="Times New Roman"/>
                <w:sz w:val="20"/>
                <w:szCs w:val="20"/>
              </w:rPr>
              <w:t>E-Bütçe</w:t>
            </w:r>
          </w:p>
          <w:p w:rsidR="003F502E" w:rsidRPr="003F502E" w:rsidRDefault="003F502E" w:rsidP="003F502E">
            <w:pPr>
              <w:pStyle w:val="ListeParagraf"/>
              <w:numPr>
                <w:ilvl w:val="0"/>
                <w:numId w:val="3"/>
              </w:numPr>
              <w:spacing w:line="276" w:lineRule="auto"/>
              <w:jc w:val="both"/>
              <w:rPr>
                <w:rFonts w:ascii="Times New Roman" w:hAnsi="Times New Roman" w:cs="Times New Roman"/>
                <w:sz w:val="20"/>
                <w:szCs w:val="20"/>
              </w:rPr>
            </w:pPr>
            <w:r w:rsidRPr="003F502E">
              <w:rPr>
                <w:rFonts w:ascii="Times New Roman" w:hAnsi="Times New Roman" w:cs="Times New Roman"/>
                <w:sz w:val="20"/>
                <w:szCs w:val="20"/>
              </w:rPr>
              <w:t>Dij</w:t>
            </w:r>
            <w:r>
              <w:rPr>
                <w:rFonts w:ascii="Times New Roman" w:hAnsi="Times New Roman" w:cs="Times New Roman"/>
                <w:sz w:val="20"/>
                <w:szCs w:val="20"/>
              </w:rPr>
              <w:t>i</w:t>
            </w:r>
            <w:r w:rsidRPr="003F502E">
              <w:rPr>
                <w:rFonts w:ascii="Times New Roman" w:hAnsi="Times New Roman" w:cs="Times New Roman"/>
                <w:sz w:val="20"/>
                <w:szCs w:val="20"/>
              </w:rPr>
              <w:t>tal Ortam</w:t>
            </w:r>
          </w:p>
          <w:p w:rsidR="00B056F6" w:rsidRPr="00A30F62" w:rsidRDefault="003F502E" w:rsidP="003F502E">
            <w:pPr>
              <w:pStyle w:val="ListeParagraf"/>
              <w:numPr>
                <w:ilvl w:val="0"/>
                <w:numId w:val="3"/>
              </w:numPr>
              <w:spacing w:line="276" w:lineRule="auto"/>
              <w:jc w:val="both"/>
              <w:rPr>
                <w:rFonts w:ascii="Times New Roman" w:hAnsi="Times New Roman" w:cs="Times New Roman"/>
                <w:sz w:val="20"/>
                <w:szCs w:val="20"/>
              </w:rPr>
            </w:pPr>
            <w:r w:rsidRPr="003F502E">
              <w:rPr>
                <w:rFonts w:ascii="Times New Roman" w:hAnsi="Times New Roman" w:cs="Times New Roman"/>
                <w:sz w:val="20"/>
                <w:szCs w:val="20"/>
              </w:rPr>
              <w:t>Fiziki Arşiv</w:t>
            </w:r>
          </w:p>
        </w:tc>
      </w:tr>
      <w:tr w:rsidR="00B056F6" w:rsidTr="00A85483">
        <w:trPr>
          <w:trHeight w:val="743"/>
        </w:trPr>
        <w:tc>
          <w:tcPr>
            <w:tcW w:w="10207" w:type="dxa"/>
            <w:gridSpan w:val="4"/>
          </w:tcPr>
          <w:p w:rsidR="00B056F6" w:rsidRPr="001468A2" w:rsidRDefault="00B056F6" w:rsidP="001A40D0">
            <w:pPr>
              <w:pStyle w:val="ListeParagraf"/>
              <w:ind w:left="360"/>
              <w:jc w:val="both"/>
              <w:rPr>
                <w:rFonts w:ascii="Times New Roman" w:hAnsi="Times New Roman" w:cs="Times New Roman"/>
                <w:b/>
                <w:sz w:val="20"/>
                <w:szCs w:val="20"/>
              </w:rPr>
            </w:pPr>
            <w:r w:rsidRPr="001468A2">
              <w:rPr>
                <w:rFonts w:ascii="Times New Roman" w:hAnsi="Times New Roman" w:cs="Times New Roman"/>
                <w:b/>
                <w:sz w:val="20"/>
                <w:szCs w:val="20"/>
              </w:rPr>
              <w:lastRenderedPageBreak/>
              <w:t xml:space="preserve">İzleme Kriterleri: </w:t>
            </w:r>
          </w:p>
          <w:p w:rsidR="003F502E" w:rsidRPr="003F502E" w:rsidRDefault="003F502E" w:rsidP="001A40D0">
            <w:pPr>
              <w:pStyle w:val="ListeParagraf"/>
              <w:numPr>
                <w:ilvl w:val="0"/>
                <w:numId w:val="3"/>
              </w:numPr>
              <w:jc w:val="both"/>
              <w:rPr>
                <w:rFonts w:ascii="Times New Roman" w:hAnsi="Times New Roman" w:cs="Times New Roman"/>
                <w:color w:val="000000" w:themeColor="text1"/>
                <w:sz w:val="20"/>
                <w:szCs w:val="20"/>
              </w:rPr>
            </w:pPr>
            <w:r w:rsidRPr="003F502E">
              <w:rPr>
                <w:rFonts w:ascii="Times New Roman" w:hAnsi="Times New Roman" w:cs="Times New Roman"/>
                <w:color w:val="000000" w:themeColor="text1"/>
                <w:sz w:val="20"/>
                <w:szCs w:val="20"/>
              </w:rPr>
              <w:t>Muhasebe hesaplarına ilişkin gelen iç denetim bulgu sayısı</w:t>
            </w:r>
          </w:p>
          <w:p w:rsidR="00B056F6" w:rsidRPr="001468A2" w:rsidRDefault="003F502E" w:rsidP="001A40D0">
            <w:pPr>
              <w:pStyle w:val="ListeParagraf"/>
              <w:numPr>
                <w:ilvl w:val="0"/>
                <w:numId w:val="3"/>
              </w:numPr>
              <w:jc w:val="both"/>
              <w:rPr>
                <w:rFonts w:ascii="Times New Roman" w:hAnsi="Times New Roman" w:cs="Times New Roman"/>
                <w:color w:val="FF0000"/>
                <w:sz w:val="20"/>
                <w:szCs w:val="20"/>
              </w:rPr>
            </w:pPr>
            <w:r w:rsidRPr="003F502E">
              <w:rPr>
                <w:rFonts w:ascii="Times New Roman" w:hAnsi="Times New Roman" w:cs="Times New Roman"/>
                <w:color w:val="000000" w:themeColor="text1"/>
                <w:sz w:val="20"/>
                <w:szCs w:val="20"/>
              </w:rPr>
              <w:t>Muhasebe hesaplarına ilişkin gelen dış denetim bulgu sayısı</w:t>
            </w:r>
          </w:p>
        </w:tc>
      </w:tr>
      <w:tr w:rsidR="00B056F6" w:rsidTr="00A85483">
        <w:trPr>
          <w:trHeight w:val="709"/>
        </w:trPr>
        <w:tc>
          <w:tcPr>
            <w:tcW w:w="10207" w:type="dxa"/>
            <w:gridSpan w:val="4"/>
          </w:tcPr>
          <w:p w:rsidR="00B056F6" w:rsidRPr="00D90B40" w:rsidRDefault="00B056F6" w:rsidP="001A40D0">
            <w:pPr>
              <w:pStyle w:val="ListeParagraf"/>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B056F6" w:rsidRPr="00D90B40" w:rsidRDefault="003F502E" w:rsidP="001A40D0">
            <w:pPr>
              <w:pStyle w:val="ListeParagraf"/>
              <w:numPr>
                <w:ilvl w:val="0"/>
                <w:numId w:val="9"/>
              </w:numPr>
              <w:rPr>
                <w:rFonts w:ascii="Times New Roman" w:hAnsi="Times New Roman" w:cs="Times New Roman"/>
                <w:sz w:val="20"/>
                <w:szCs w:val="20"/>
              </w:rPr>
            </w:pPr>
            <w:r w:rsidRPr="003F502E">
              <w:rPr>
                <w:rFonts w:ascii="Times New Roman" w:hAnsi="Times New Roman" w:cs="Times New Roman"/>
                <w:sz w:val="20"/>
                <w:szCs w:val="20"/>
              </w:rPr>
              <w:t>Hazineden talep edilen nakidin Hazine tarafından gönderilememesi nedeniyle ödemenin gerçekleştirilememesi</w:t>
            </w:r>
          </w:p>
        </w:tc>
      </w:tr>
      <w:tr w:rsidR="00B056F6" w:rsidTr="001A40D0">
        <w:trPr>
          <w:trHeight w:val="547"/>
        </w:trPr>
        <w:tc>
          <w:tcPr>
            <w:tcW w:w="10207" w:type="dxa"/>
            <w:gridSpan w:val="4"/>
          </w:tcPr>
          <w:p w:rsidR="00B056F6" w:rsidRPr="0006390B" w:rsidRDefault="00B056F6" w:rsidP="001A40D0">
            <w:pPr>
              <w:pStyle w:val="ListeParagraf"/>
              <w:ind w:left="360"/>
              <w:rPr>
                <w:rFonts w:ascii="Times New Roman" w:hAnsi="Times New Roman" w:cs="Times New Roman"/>
                <w:b/>
                <w:bCs/>
                <w:sz w:val="20"/>
                <w:szCs w:val="20"/>
              </w:rPr>
            </w:pPr>
            <w:r w:rsidRPr="0006390B">
              <w:rPr>
                <w:rFonts w:ascii="Times New Roman" w:hAnsi="Times New Roman" w:cs="Times New Roman"/>
                <w:b/>
                <w:bCs/>
                <w:sz w:val="20"/>
                <w:szCs w:val="20"/>
              </w:rPr>
              <w:t>Fırsatlar:</w:t>
            </w:r>
          </w:p>
          <w:p w:rsidR="00B056F6" w:rsidRPr="006D26B4" w:rsidRDefault="003F502E" w:rsidP="001A40D0">
            <w:pPr>
              <w:pStyle w:val="ListeParagraf"/>
              <w:numPr>
                <w:ilvl w:val="0"/>
                <w:numId w:val="9"/>
              </w:numPr>
              <w:rPr>
                <w:rFonts w:ascii="Times New Roman" w:hAnsi="Times New Roman" w:cs="Times New Roman"/>
                <w:bCs/>
                <w:sz w:val="20"/>
                <w:szCs w:val="20"/>
              </w:rPr>
            </w:pPr>
            <w:r w:rsidRPr="003F502E">
              <w:rPr>
                <w:rFonts w:ascii="Times New Roman" w:hAnsi="Times New Roman" w:cs="Times New Roman"/>
                <w:bCs/>
                <w:sz w:val="20"/>
                <w:szCs w:val="20"/>
              </w:rPr>
              <w:t>Faaliyetin yürütülmesinde destekleyici mevzuatın bulunması</w:t>
            </w:r>
          </w:p>
        </w:tc>
      </w:tr>
    </w:tbl>
    <w:p w:rsidR="0090404B" w:rsidRDefault="0090404B">
      <w:pPr>
        <w:rPr>
          <w:rFonts w:ascii="Times New Roman" w:hAnsi="Times New Roman" w:cs="Times New Roman"/>
          <w:b/>
        </w:rPr>
      </w:pPr>
    </w:p>
    <w:p w:rsidR="00635B91" w:rsidRDefault="00635B91">
      <w:pPr>
        <w:rPr>
          <w:rFonts w:ascii="Times New Roman" w:hAnsi="Times New Roman" w:cs="Times New Roman"/>
          <w:b/>
        </w:rPr>
      </w:pPr>
    </w:p>
    <w:p w:rsidR="0090404B" w:rsidRDefault="001A40D0">
      <w:pPr>
        <w:rPr>
          <w:rFonts w:ascii="Times New Roman" w:hAnsi="Times New Roman" w:cs="Times New Roman"/>
          <w:b/>
        </w:rPr>
      </w:pPr>
      <w:r w:rsidRPr="001A40D0">
        <w:rPr>
          <w:rFonts w:ascii="Times New Roman" w:hAnsi="Times New Roman" w:cs="Times New Roman"/>
          <w:b/>
        </w:rPr>
        <w:lastRenderedPageBreak/>
        <w:t>F4.2.4 Mali Danışmanlık İşlemleri</w:t>
      </w:r>
    </w:p>
    <w:tbl>
      <w:tblPr>
        <w:tblStyle w:val="TabloKlavuzu"/>
        <w:tblW w:w="10207" w:type="dxa"/>
        <w:tblInd w:w="-431" w:type="dxa"/>
        <w:tblLook w:val="04A0" w:firstRow="1" w:lastRow="0" w:firstColumn="1" w:lastColumn="0" w:noHBand="0" w:noVBand="1"/>
      </w:tblPr>
      <w:tblGrid>
        <w:gridCol w:w="2396"/>
        <w:gridCol w:w="2566"/>
        <w:gridCol w:w="2972"/>
        <w:gridCol w:w="2273"/>
      </w:tblGrid>
      <w:tr w:rsidR="00B056F6" w:rsidTr="00A85483">
        <w:trPr>
          <w:trHeight w:val="445"/>
        </w:trPr>
        <w:tc>
          <w:tcPr>
            <w:tcW w:w="10207" w:type="dxa"/>
            <w:gridSpan w:val="4"/>
          </w:tcPr>
          <w:p w:rsidR="00B056F6" w:rsidRPr="003200C4" w:rsidRDefault="00B056F6" w:rsidP="001A40D0">
            <w:pPr>
              <w:spacing w:line="276" w:lineRule="auto"/>
              <w:jc w:val="both"/>
              <w:rPr>
                <w:rFonts w:ascii="Times New Roman" w:hAnsi="Times New Roman" w:cs="Times New Roman"/>
                <w:b/>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001A40D0" w:rsidRPr="001A40D0">
              <w:rPr>
                <w:rFonts w:ascii="Times New Roman" w:hAnsi="Times New Roman" w:cs="Times New Roman"/>
                <w:sz w:val="20"/>
                <w:szCs w:val="20"/>
              </w:rPr>
              <w:t>Üniversitemizin stratejik amaç ve hedefleri doğrultusunda mali kaynaklarımızın etkili, ekonomik ve verimli bir şekilde elde edilmesini ve kullanılmasını, hesap verebilirliği ve mali saydamlığı sağlamak üzere mali danışmanlık yapmak</w:t>
            </w:r>
          </w:p>
        </w:tc>
      </w:tr>
      <w:tr w:rsidR="00B056F6" w:rsidTr="00A85483">
        <w:trPr>
          <w:trHeight w:val="368"/>
        </w:trPr>
        <w:tc>
          <w:tcPr>
            <w:tcW w:w="10207" w:type="dxa"/>
            <w:gridSpan w:val="4"/>
          </w:tcPr>
          <w:p w:rsidR="00B056F6" w:rsidRPr="0006390B" w:rsidRDefault="00B056F6" w:rsidP="00A85483">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B056F6" w:rsidTr="00A85483">
        <w:trPr>
          <w:trHeight w:val="420"/>
        </w:trPr>
        <w:tc>
          <w:tcPr>
            <w:tcW w:w="2396"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566"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2972" w:type="dxa"/>
          </w:tcPr>
          <w:p w:rsidR="00B056F6" w:rsidRPr="005653AF" w:rsidRDefault="00B056F6" w:rsidP="00A85483">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B056F6" w:rsidRPr="005653AF" w:rsidRDefault="00B056F6" w:rsidP="00A85483">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B056F6" w:rsidTr="001A40D0">
        <w:trPr>
          <w:trHeight w:val="3750"/>
        </w:trPr>
        <w:tc>
          <w:tcPr>
            <w:tcW w:w="2396" w:type="dxa"/>
          </w:tcPr>
          <w:p w:rsidR="00B056F6" w:rsidRPr="00982ADD" w:rsidRDefault="001A40D0" w:rsidP="001A40D0">
            <w:pPr>
              <w:pStyle w:val="ListeParagraf"/>
              <w:numPr>
                <w:ilvl w:val="0"/>
                <w:numId w:val="2"/>
              </w:numPr>
              <w:spacing w:line="276" w:lineRule="auto"/>
              <w:rPr>
                <w:rFonts w:ascii="Times New Roman" w:hAnsi="Times New Roman" w:cs="Times New Roman"/>
                <w:sz w:val="20"/>
                <w:szCs w:val="20"/>
              </w:rPr>
            </w:pPr>
            <w:r w:rsidRPr="001A40D0">
              <w:rPr>
                <w:rFonts w:ascii="Times New Roman" w:hAnsi="Times New Roman" w:cs="Times New Roman"/>
                <w:sz w:val="20"/>
                <w:szCs w:val="20"/>
              </w:rPr>
              <w:t>Danışmanlık Hizmeti Sunma Ve Bilgilendirme İşlemleri</w:t>
            </w:r>
          </w:p>
        </w:tc>
        <w:tc>
          <w:tcPr>
            <w:tcW w:w="2566" w:type="dxa"/>
          </w:tcPr>
          <w:p w:rsidR="001A40D0" w:rsidRPr="001A40D0" w:rsidRDefault="001A40D0" w:rsidP="001A40D0">
            <w:pPr>
              <w:pStyle w:val="ListeParagraf"/>
              <w:numPr>
                <w:ilvl w:val="0"/>
                <w:numId w:val="2"/>
              </w:numPr>
              <w:spacing w:line="276" w:lineRule="auto"/>
              <w:rPr>
                <w:rFonts w:ascii="Times New Roman" w:hAnsi="Times New Roman" w:cs="Times New Roman"/>
                <w:sz w:val="20"/>
                <w:szCs w:val="20"/>
              </w:rPr>
            </w:pPr>
            <w:r w:rsidRPr="001A40D0">
              <w:rPr>
                <w:rFonts w:ascii="Times New Roman" w:hAnsi="Times New Roman" w:cs="Times New Roman"/>
                <w:sz w:val="20"/>
                <w:szCs w:val="20"/>
              </w:rPr>
              <w:t>ORT-Harcama Yetkilisi</w:t>
            </w:r>
          </w:p>
          <w:p w:rsidR="001A40D0" w:rsidRPr="001A40D0" w:rsidRDefault="001A40D0" w:rsidP="001A40D0">
            <w:pPr>
              <w:pStyle w:val="ListeParagraf"/>
              <w:numPr>
                <w:ilvl w:val="0"/>
                <w:numId w:val="2"/>
              </w:numPr>
              <w:spacing w:line="276" w:lineRule="auto"/>
              <w:rPr>
                <w:rFonts w:ascii="Times New Roman" w:hAnsi="Times New Roman" w:cs="Times New Roman"/>
                <w:sz w:val="20"/>
                <w:szCs w:val="20"/>
              </w:rPr>
            </w:pPr>
            <w:r w:rsidRPr="001A40D0">
              <w:rPr>
                <w:rFonts w:ascii="Times New Roman" w:hAnsi="Times New Roman" w:cs="Times New Roman"/>
                <w:sz w:val="20"/>
                <w:szCs w:val="20"/>
              </w:rPr>
              <w:t>Rektör</w:t>
            </w:r>
          </w:p>
          <w:p w:rsidR="001A40D0" w:rsidRPr="001A40D0" w:rsidRDefault="001A40D0" w:rsidP="001A40D0">
            <w:pPr>
              <w:pStyle w:val="ListeParagraf"/>
              <w:numPr>
                <w:ilvl w:val="0"/>
                <w:numId w:val="2"/>
              </w:numPr>
              <w:spacing w:line="276" w:lineRule="auto"/>
              <w:rPr>
                <w:rFonts w:ascii="Times New Roman" w:hAnsi="Times New Roman" w:cs="Times New Roman"/>
                <w:sz w:val="20"/>
                <w:szCs w:val="20"/>
              </w:rPr>
            </w:pPr>
            <w:r w:rsidRPr="001A40D0">
              <w:rPr>
                <w:rFonts w:ascii="Times New Roman" w:hAnsi="Times New Roman" w:cs="Times New Roman"/>
                <w:sz w:val="20"/>
                <w:szCs w:val="20"/>
              </w:rPr>
              <w:t>SGDB Mali Hizmetler Uzmanı</w:t>
            </w:r>
          </w:p>
          <w:p w:rsidR="001A40D0" w:rsidRPr="001A40D0" w:rsidRDefault="001A40D0" w:rsidP="001A40D0">
            <w:pPr>
              <w:pStyle w:val="ListeParagraf"/>
              <w:numPr>
                <w:ilvl w:val="0"/>
                <w:numId w:val="2"/>
              </w:numPr>
              <w:spacing w:line="276" w:lineRule="auto"/>
              <w:rPr>
                <w:rFonts w:ascii="Times New Roman" w:hAnsi="Times New Roman" w:cs="Times New Roman"/>
                <w:sz w:val="20"/>
                <w:szCs w:val="20"/>
              </w:rPr>
            </w:pPr>
            <w:r w:rsidRPr="001A40D0">
              <w:rPr>
                <w:rFonts w:ascii="Times New Roman" w:hAnsi="Times New Roman" w:cs="Times New Roman"/>
                <w:sz w:val="20"/>
                <w:szCs w:val="20"/>
              </w:rPr>
              <w:t>SGDB Mali Hizmetler Uzman Yardımcısı</w:t>
            </w:r>
          </w:p>
          <w:p w:rsidR="00B056F6" w:rsidRPr="005653AF" w:rsidRDefault="001A40D0" w:rsidP="001A40D0">
            <w:pPr>
              <w:pStyle w:val="ListeParagraf"/>
              <w:numPr>
                <w:ilvl w:val="0"/>
                <w:numId w:val="2"/>
              </w:numPr>
              <w:spacing w:line="276" w:lineRule="auto"/>
              <w:rPr>
                <w:rFonts w:ascii="Times New Roman" w:hAnsi="Times New Roman" w:cs="Times New Roman"/>
                <w:sz w:val="20"/>
                <w:szCs w:val="20"/>
              </w:rPr>
            </w:pPr>
            <w:r w:rsidRPr="001A40D0">
              <w:rPr>
                <w:rFonts w:ascii="Times New Roman" w:hAnsi="Times New Roman" w:cs="Times New Roman"/>
                <w:sz w:val="20"/>
                <w:szCs w:val="20"/>
              </w:rPr>
              <w:t>Strateji Geliştirme Daire Başkanı</w:t>
            </w:r>
          </w:p>
        </w:tc>
        <w:tc>
          <w:tcPr>
            <w:tcW w:w="2972" w:type="dxa"/>
          </w:tcPr>
          <w:p w:rsidR="00B056F6" w:rsidRPr="001468A2" w:rsidRDefault="0014185F" w:rsidP="00A85483">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Mevzuatsal Dokümanlar</w:t>
            </w:r>
          </w:p>
        </w:tc>
        <w:tc>
          <w:tcPr>
            <w:tcW w:w="2273" w:type="dxa"/>
          </w:tcPr>
          <w:p w:rsidR="001A40D0" w:rsidRPr="001A40D0" w:rsidRDefault="001A40D0" w:rsidP="001A40D0">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1A40D0">
              <w:rPr>
                <w:rFonts w:ascii="Times New Roman" w:hAnsi="Times New Roman" w:cs="Times New Roman"/>
                <w:sz w:val="20"/>
                <w:szCs w:val="20"/>
              </w:rPr>
              <w:t>BYS</w:t>
            </w:r>
          </w:p>
          <w:p w:rsidR="001A40D0" w:rsidRPr="001A40D0" w:rsidRDefault="001A40D0" w:rsidP="001A40D0">
            <w:pPr>
              <w:pStyle w:val="ListeParagraf"/>
              <w:numPr>
                <w:ilvl w:val="0"/>
                <w:numId w:val="3"/>
              </w:numPr>
              <w:spacing w:line="276" w:lineRule="auto"/>
              <w:jc w:val="both"/>
              <w:rPr>
                <w:rFonts w:ascii="Times New Roman" w:hAnsi="Times New Roman" w:cs="Times New Roman"/>
                <w:sz w:val="20"/>
                <w:szCs w:val="20"/>
              </w:rPr>
            </w:pPr>
            <w:r w:rsidRPr="001A40D0">
              <w:rPr>
                <w:rFonts w:ascii="Times New Roman" w:hAnsi="Times New Roman" w:cs="Times New Roman"/>
                <w:sz w:val="20"/>
                <w:szCs w:val="20"/>
              </w:rPr>
              <w:t>Dijtal Ortam</w:t>
            </w:r>
          </w:p>
          <w:p w:rsidR="00B056F6" w:rsidRPr="00A30F62" w:rsidRDefault="001A40D0" w:rsidP="001A40D0">
            <w:pPr>
              <w:pStyle w:val="ListeParagraf"/>
              <w:numPr>
                <w:ilvl w:val="0"/>
                <w:numId w:val="3"/>
              </w:numPr>
              <w:spacing w:line="276" w:lineRule="auto"/>
              <w:jc w:val="both"/>
              <w:rPr>
                <w:rFonts w:ascii="Times New Roman" w:hAnsi="Times New Roman" w:cs="Times New Roman"/>
                <w:sz w:val="20"/>
                <w:szCs w:val="20"/>
              </w:rPr>
            </w:pPr>
            <w:r w:rsidRPr="001A40D0">
              <w:rPr>
                <w:rFonts w:ascii="Times New Roman" w:hAnsi="Times New Roman" w:cs="Times New Roman"/>
                <w:sz w:val="20"/>
                <w:szCs w:val="20"/>
              </w:rPr>
              <w:t>Fiziki Arşiv</w:t>
            </w:r>
          </w:p>
        </w:tc>
      </w:tr>
      <w:tr w:rsidR="00B056F6" w:rsidTr="00A85483">
        <w:trPr>
          <w:trHeight w:val="743"/>
        </w:trPr>
        <w:tc>
          <w:tcPr>
            <w:tcW w:w="10207" w:type="dxa"/>
            <w:gridSpan w:val="4"/>
          </w:tcPr>
          <w:p w:rsidR="00B056F6" w:rsidRPr="001468A2" w:rsidRDefault="00B056F6" w:rsidP="00A85483">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B056F6" w:rsidRPr="001A40D0" w:rsidRDefault="001A40D0" w:rsidP="001A40D0">
            <w:pPr>
              <w:pStyle w:val="ListeParagraf"/>
              <w:numPr>
                <w:ilvl w:val="0"/>
                <w:numId w:val="3"/>
              </w:numPr>
              <w:spacing w:line="276" w:lineRule="auto"/>
              <w:jc w:val="both"/>
              <w:rPr>
                <w:rFonts w:ascii="Times New Roman" w:hAnsi="Times New Roman" w:cs="Times New Roman"/>
                <w:color w:val="FF0000"/>
                <w:sz w:val="20"/>
                <w:szCs w:val="20"/>
              </w:rPr>
            </w:pPr>
            <w:r w:rsidRPr="001A40D0">
              <w:rPr>
                <w:rFonts w:ascii="Times New Roman" w:hAnsi="Times New Roman" w:cs="Times New Roman"/>
                <w:color w:val="000000" w:themeColor="text1"/>
                <w:sz w:val="20"/>
                <w:szCs w:val="20"/>
              </w:rPr>
              <w:t>Verilen görüş yazılarının toplam görüş taleplerine oranı</w:t>
            </w:r>
          </w:p>
        </w:tc>
      </w:tr>
      <w:tr w:rsidR="00B056F6" w:rsidTr="00A85483">
        <w:trPr>
          <w:trHeight w:val="709"/>
        </w:trPr>
        <w:tc>
          <w:tcPr>
            <w:tcW w:w="10207" w:type="dxa"/>
            <w:gridSpan w:val="4"/>
          </w:tcPr>
          <w:p w:rsidR="00B056F6" w:rsidRPr="00D90B40" w:rsidRDefault="00B056F6" w:rsidP="00A85483">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B056F6" w:rsidRPr="00D90B40" w:rsidRDefault="001A40D0" w:rsidP="001A40D0">
            <w:pPr>
              <w:pStyle w:val="ListeParagraf"/>
              <w:numPr>
                <w:ilvl w:val="0"/>
                <w:numId w:val="9"/>
              </w:numPr>
              <w:spacing w:line="276" w:lineRule="auto"/>
              <w:rPr>
                <w:rFonts w:ascii="Times New Roman" w:hAnsi="Times New Roman" w:cs="Times New Roman"/>
                <w:sz w:val="20"/>
                <w:szCs w:val="20"/>
              </w:rPr>
            </w:pPr>
            <w:r w:rsidRPr="001A40D0">
              <w:rPr>
                <w:rFonts w:ascii="Times New Roman" w:hAnsi="Times New Roman" w:cs="Times New Roman"/>
                <w:sz w:val="20"/>
                <w:szCs w:val="20"/>
              </w:rPr>
              <w:t>Verilen mali görüşe göre işlem tesis edilmemesi sonucunda yanlış uygulama yapılması</w:t>
            </w:r>
          </w:p>
        </w:tc>
      </w:tr>
      <w:tr w:rsidR="00B056F6" w:rsidTr="00A85483">
        <w:trPr>
          <w:trHeight w:val="729"/>
        </w:trPr>
        <w:tc>
          <w:tcPr>
            <w:tcW w:w="10207" w:type="dxa"/>
            <w:gridSpan w:val="4"/>
          </w:tcPr>
          <w:p w:rsidR="00B056F6" w:rsidRPr="0006390B" w:rsidRDefault="00B056F6" w:rsidP="00A85483">
            <w:pPr>
              <w:pStyle w:val="ListeParagraf"/>
              <w:spacing w:line="276" w:lineRule="auto"/>
              <w:ind w:left="360"/>
              <w:rPr>
                <w:rFonts w:ascii="Times New Roman" w:hAnsi="Times New Roman" w:cs="Times New Roman"/>
                <w:b/>
                <w:bCs/>
                <w:sz w:val="20"/>
                <w:szCs w:val="20"/>
              </w:rPr>
            </w:pPr>
            <w:r w:rsidRPr="0006390B">
              <w:rPr>
                <w:rFonts w:ascii="Times New Roman" w:hAnsi="Times New Roman" w:cs="Times New Roman"/>
                <w:b/>
                <w:bCs/>
                <w:sz w:val="20"/>
                <w:szCs w:val="20"/>
              </w:rPr>
              <w:t>Fırsatlar:</w:t>
            </w:r>
          </w:p>
          <w:p w:rsidR="00B056F6" w:rsidRPr="006D26B4" w:rsidRDefault="001A40D0" w:rsidP="001A40D0">
            <w:pPr>
              <w:pStyle w:val="ListeParagraf"/>
              <w:numPr>
                <w:ilvl w:val="0"/>
                <w:numId w:val="9"/>
              </w:numPr>
              <w:spacing w:line="276" w:lineRule="auto"/>
              <w:rPr>
                <w:rFonts w:ascii="Times New Roman" w:hAnsi="Times New Roman" w:cs="Times New Roman"/>
                <w:bCs/>
                <w:sz w:val="20"/>
                <w:szCs w:val="20"/>
              </w:rPr>
            </w:pPr>
            <w:r w:rsidRPr="001A40D0">
              <w:rPr>
                <w:rFonts w:ascii="Times New Roman" w:hAnsi="Times New Roman" w:cs="Times New Roman"/>
                <w:bCs/>
                <w:sz w:val="20"/>
                <w:szCs w:val="20"/>
              </w:rPr>
              <w:t>Faaliyetin yürütülmesinde destekleyici mevzuatın bulunması</w:t>
            </w:r>
          </w:p>
        </w:tc>
      </w:tr>
    </w:tbl>
    <w:p w:rsidR="0090404B" w:rsidRDefault="0090404B" w:rsidP="00635B91">
      <w:pPr>
        <w:rPr>
          <w:rFonts w:ascii="Times New Roman" w:hAnsi="Times New Roman" w:cs="Times New Roman"/>
          <w:b/>
        </w:rPr>
      </w:pPr>
    </w:p>
    <w:sectPr w:rsidR="0090404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554" w:rsidRDefault="001A3554" w:rsidP="00F37745">
      <w:pPr>
        <w:spacing w:after="0" w:line="240" w:lineRule="auto"/>
      </w:pPr>
      <w:r>
        <w:separator/>
      </w:r>
    </w:p>
  </w:endnote>
  <w:endnote w:type="continuationSeparator" w:id="0">
    <w:p w:rsidR="001A3554" w:rsidRDefault="001A3554"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529" w:type="dxa"/>
      <w:tblInd w:w="-509" w:type="dxa"/>
      <w:tblLook w:val="04A0" w:firstRow="1" w:lastRow="0" w:firstColumn="1" w:lastColumn="0" w:noHBand="0" w:noVBand="1"/>
    </w:tblPr>
    <w:tblGrid>
      <w:gridCol w:w="4983"/>
      <w:gridCol w:w="5546"/>
    </w:tblGrid>
    <w:tr w:rsidR="00A3521E" w:rsidRPr="00E772FA" w:rsidTr="00A3521E">
      <w:trPr>
        <w:trHeight w:val="238"/>
      </w:trPr>
      <w:tc>
        <w:tcPr>
          <w:tcW w:w="4983" w:type="dxa"/>
        </w:tcPr>
        <w:p w:rsidR="00A3521E" w:rsidRPr="00E772FA" w:rsidRDefault="00A3521E"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Hazırlayan</w:t>
          </w:r>
        </w:p>
      </w:tc>
      <w:tc>
        <w:tcPr>
          <w:tcW w:w="5546" w:type="dxa"/>
        </w:tcPr>
        <w:p w:rsidR="00A3521E" w:rsidRPr="00E772FA" w:rsidRDefault="00A3521E"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Onaylayan</w:t>
          </w:r>
        </w:p>
      </w:tc>
    </w:tr>
    <w:tr w:rsidR="00A3521E" w:rsidRPr="00E772FA" w:rsidTr="00A3521E">
      <w:trPr>
        <w:trHeight w:val="306"/>
      </w:trPr>
      <w:tc>
        <w:tcPr>
          <w:tcW w:w="4983" w:type="dxa"/>
        </w:tcPr>
        <w:p w:rsidR="00A3521E" w:rsidRPr="00E772FA" w:rsidRDefault="00A3521E" w:rsidP="00E772FA">
          <w:pPr>
            <w:jc w:val="center"/>
            <w:rPr>
              <w:rFonts w:ascii="Times New Roman" w:eastAsia="Century Gothic" w:hAnsi="Times New Roman" w:cs="Times New Roman"/>
              <w:sz w:val="24"/>
              <w:szCs w:val="20"/>
            </w:rPr>
          </w:pPr>
          <w:r w:rsidRPr="00E772FA">
            <w:rPr>
              <w:rFonts w:ascii="Times New Roman" w:eastAsia="Century Gothic" w:hAnsi="Times New Roman" w:cs="Times New Roman"/>
              <w:sz w:val="24"/>
              <w:szCs w:val="20"/>
            </w:rPr>
            <w:t>Kalite Koordinatörlüğü</w:t>
          </w:r>
        </w:p>
      </w:tc>
      <w:tc>
        <w:tcPr>
          <w:tcW w:w="5546" w:type="dxa"/>
        </w:tcPr>
        <w:p w:rsidR="00A3521E" w:rsidRPr="00E772FA" w:rsidRDefault="00A3521E" w:rsidP="00E772FA">
          <w:pPr>
            <w:jc w:val="center"/>
            <w:rPr>
              <w:rFonts w:ascii="Times New Roman" w:eastAsia="Century Gothic" w:hAnsi="Times New Roman" w:cs="Times New Roman"/>
              <w:sz w:val="24"/>
              <w:szCs w:val="20"/>
            </w:rPr>
          </w:pPr>
          <w:r w:rsidRPr="00E772FA">
            <w:rPr>
              <w:rFonts w:ascii="Times New Roman" w:hAnsi="Times New Roman" w:cs="Times New Roman"/>
              <w:sz w:val="24"/>
              <w:szCs w:val="20"/>
            </w:rPr>
            <w:t>Kalite Koordinatörü</w:t>
          </w:r>
        </w:p>
      </w:tc>
    </w:tr>
  </w:tbl>
  <w:p w:rsidR="00A3521E" w:rsidRPr="00E772FA" w:rsidRDefault="00A3521E" w:rsidP="00E772FA">
    <w:pPr>
      <w:tabs>
        <w:tab w:val="center" w:pos="4536"/>
        <w:tab w:val="right" w:pos="9072"/>
      </w:tabs>
      <w:spacing w:after="0" w:line="240" w:lineRule="auto"/>
      <w:rPr>
        <w:rFonts w:ascii="Calibri" w:eastAsia="Calibri" w:hAnsi="Calibri" w:cs="Times New Roman"/>
      </w:rPr>
    </w:pPr>
    <w:r w:rsidRPr="00E772FA">
      <w:rPr>
        <w:rFonts w:ascii="Times New Roman" w:eastAsia="Calibri" w:hAnsi="Times New Roman" w:cs="Times New Roman"/>
        <w:i/>
        <w:color w:val="FF0000"/>
        <w:sz w:val="16"/>
        <w:szCs w:val="16"/>
      </w:rPr>
      <w:t xml:space="preserve">Bu dokümanın basılı hali kontrolsüz doküman kabul edilmektedir. Lütfen web sitesinden en son versiyonuna ulaşınız. </w:t>
    </w:r>
    <w:r w:rsidRPr="00E772FA">
      <w:rPr>
        <w:rFonts w:ascii="Calibri" w:eastAsia="Calibri" w:hAnsi="Calibri" w:cs="Times New Roman"/>
        <w:color w:val="FF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554" w:rsidRDefault="001A3554" w:rsidP="00F37745">
      <w:pPr>
        <w:spacing w:after="0" w:line="240" w:lineRule="auto"/>
      </w:pPr>
      <w:r>
        <w:separator/>
      </w:r>
    </w:p>
  </w:footnote>
  <w:footnote w:type="continuationSeparator" w:id="0">
    <w:p w:rsidR="001A3554" w:rsidRDefault="001A3554" w:rsidP="00F3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pPr w:leftFromText="141" w:rightFromText="141" w:horzAnchor="margin" w:tblpXSpec="center" w:tblpY="-1140"/>
      <w:tblW w:w="10009" w:type="dxa"/>
      <w:tblLook w:val="04A0" w:firstRow="1" w:lastRow="0" w:firstColumn="1" w:lastColumn="0" w:noHBand="0" w:noVBand="1"/>
    </w:tblPr>
    <w:tblGrid>
      <w:gridCol w:w="1566"/>
      <w:gridCol w:w="5411"/>
      <w:gridCol w:w="1541"/>
      <w:gridCol w:w="1491"/>
    </w:tblGrid>
    <w:tr w:rsidR="00A3521E" w:rsidRPr="002212E8" w:rsidTr="00A3521E">
      <w:trPr>
        <w:trHeight w:val="272"/>
      </w:trPr>
      <w:tc>
        <w:tcPr>
          <w:tcW w:w="1566" w:type="dxa"/>
          <w:vMerge w:val="restart"/>
        </w:tcPr>
        <w:p w:rsidR="00A3521E" w:rsidRPr="002212E8" w:rsidRDefault="00A3521E" w:rsidP="00F37745">
          <w:pPr>
            <w:tabs>
              <w:tab w:val="center" w:pos="4536"/>
              <w:tab w:val="right" w:pos="9072"/>
            </w:tabs>
            <w:spacing w:before="60"/>
            <w:rPr>
              <w:rFonts w:ascii="Century Gothic" w:eastAsia="Century Gothic" w:hAnsi="Century Gothic"/>
            </w:rPr>
          </w:pPr>
          <w:r w:rsidRPr="002212E8">
            <w:rPr>
              <w:rFonts w:ascii="Arial" w:eastAsia="Century Gothic" w:hAnsi="Arial" w:cs="Arial"/>
              <w:noProof/>
              <w:sz w:val="29"/>
              <w:szCs w:val="29"/>
              <w:lang w:eastAsia="tr-TR"/>
            </w:rPr>
            <w:drawing>
              <wp:inline distT="0" distB="0" distL="0" distR="0" wp14:anchorId="06B4EB06" wp14:editId="65A8FCB3">
                <wp:extent cx="854075" cy="827848"/>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204" cy="832820"/>
                        </a:xfrm>
                        <a:prstGeom prst="rect">
                          <a:avLst/>
                        </a:prstGeom>
                        <a:noFill/>
                        <a:ln>
                          <a:noFill/>
                        </a:ln>
                      </pic:spPr>
                    </pic:pic>
                  </a:graphicData>
                </a:graphic>
              </wp:inline>
            </w:drawing>
          </w:r>
        </w:p>
      </w:tc>
      <w:tc>
        <w:tcPr>
          <w:tcW w:w="5411" w:type="dxa"/>
          <w:vMerge w:val="restart"/>
        </w:tcPr>
        <w:p w:rsidR="00A3521E" w:rsidRPr="002212E8" w:rsidRDefault="00A3521E" w:rsidP="00F37745">
          <w:pPr>
            <w:tabs>
              <w:tab w:val="center" w:pos="4536"/>
              <w:tab w:val="right" w:pos="9072"/>
            </w:tabs>
            <w:jc w:val="center"/>
            <w:rPr>
              <w:rFonts w:ascii="Times New Roman" w:eastAsia="Century Gothic" w:hAnsi="Times New Roman"/>
              <w:b/>
            </w:rPr>
          </w:pPr>
        </w:p>
        <w:p w:rsidR="00A3521E" w:rsidRPr="004D0C5E" w:rsidRDefault="00A3521E"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rsidR="00A3521E" w:rsidRPr="004D0C5E" w:rsidRDefault="00A3521E" w:rsidP="00F37745">
          <w:pPr>
            <w:jc w:val="center"/>
            <w:rPr>
              <w:rFonts w:ascii="Century Gothic" w:eastAsia="Century Gothic" w:hAnsi="Century Gothic"/>
              <w:sz w:val="24"/>
              <w:szCs w:val="24"/>
            </w:rPr>
          </w:pPr>
          <w:r w:rsidRPr="004D0C5E">
            <w:rPr>
              <w:rFonts w:ascii="Times New Roman" w:eastAsia="Century Gothic" w:hAnsi="Times New Roman"/>
              <w:b/>
              <w:sz w:val="24"/>
              <w:szCs w:val="24"/>
            </w:rPr>
            <w:t xml:space="preserve">KASTAMONU ÜNİVERSİTESİ </w:t>
          </w:r>
        </w:p>
        <w:p w:rsidR="00A3521E" w:rsidRPr="002212E8" w:rsidRDefault="00A3521E" w:rsidP="003647D5">
          <w:pPr>
            <w:tabs>
              <w:tab w:val="center" w:pos="2597"/>
              <w:tab w:val="center" w:pos="4536"/>
              <w:tab w:val="right" w:pos="9072"/>
            </w:tabs>
            <w:rPr>
              <w:rFonts w:ascii="Century Gothic" w:eastAsia="Century Gothic" w:hAnsi="Century Gothic"/>
            </w:rPr>
          </w:pPr>
          <w:r>
            <w:rPr>
              <w:rFonts w:ascii="Times New Roman" w:hAnsi="Times New Roman"/>
              <w:b/>
              <w:sz w:val="24"/>
              <w:szCs w:val="24"/>
            </w:rPr>
            <w:tab/>
          </w:r>
          <w:r w:rsidR="003647D5">
            <w:rPr>
              <w:rFonts w:ascii="Times New Roman" w:hAnsi="Times New Roman"/>
              <w:b/>
              <w:sz w:val="24"/>
              <w:szCs w:val="24"/>
            </w:rPr>
            <w:t>Mali İşler Süreci</w:t>
          </w:r>
        </w:p>
      </w:tc>
      <w:tc>
        <w:tcPr>
          <w:tcW w:w="1541" w:type="dxa"/>
        </w:tcPr>
        <w:p w:rsidR="00A3521E" w:rsidRPr="002D40E2" w:rsidRDefault="00A3521E"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491" w:type="dxa"/>
        </w:tcPr>
        <w:p w:rsidR="00A3521E" w:rsidRPr="002D40E2" w:rsidRDefault="00894558"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KYS-PRS- 4.2</w:t>
          </w:r>
        </w:p>
      </w:tc>
    </w:tr>
    <w:tr w:rsidR="00A3521E" w:rsidRPr="002212E8" w:rsidTr="00A3521E">
      <w:trPr>
        <w:trHeight w:val="272"/>
      </w:trPr>
      <w:tc>
        <w:tcPr>
          <w:tcW w:w="1566" w:type="dxa"/>
          <w:vMerge/>
        </w:tcPr>
        <w:p w:rsidR="00A3521E" w:rsidRPr="002212E8" w:rsidRDefault="00A3521E" w:rsidP="00F37745">
          <w:pPr>
            <w:tabs>
              <w:tab w:val="center" w:pos="4536"/>
              <w:tab w:val="right" w:pos="9072"/>
            </w:tabs>
            <w:rPr>
              <w:rFonts w:ascii="Century Gothic" w:eastAsia="Century Gothic" w:hAnsi="Century Gothic"/>
            </w:rPr>
          </w:pPr>
        </w:p>
      </w:tc>
      <w:tc>
        <w:tcPr>
          <w:tcW w:w="5411" w:type="dxa"/>
          <w:vMerge/>
        </w:tcPr>
        <w:p w:rsidR="00A3521E" w:rsidRPr="002212E8" w:rsidRDefault="00A3521E" w:rsidP="00F37745">
          <w:pPr>
            <w:tabs>
              <w:tab w:val="center" w:pos="4536"/>
              <w:tab w:val="right" w:pos="9072"/>
            </w:tabs>
            <w:rPr>
              <w:rFonts w:ascii="Century Gothic" w:eastAsia="Century Gothic" w:hAnsi="Century Gothic"/>
            </w:rPr>
          </w:pPr>
        </w:p>
      </w:tc>
      <w:tc>
        <w:tcPr>
          <w:tcW w:w="1541" w:type="dxa"/>
        </w:tcPr>
        <w:p w:rsidR="00A3521E" w:rsidRPr="002D40E2" w:rsidRDefault="00A3521E"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491" w:type="dxa"/>
        </w:tcPr>
        <w:p w:rsidR="00A3521E" w:rsidRPr="002D40E2" w:rsidRDefault="00A3521E" w:rsidP="00F37745">
          <w:pPr>
            <w:tabs>
              <w:tab w:val="center" w:pos="4536"/>
              <w:tab w:val="right" w:pos="9072"/>
            </w:tabs>
            <w:rPr>
              <w:rFonts w:ascii="Times New Roman" w:eastAsia="Century Gothic" w:hAnsi="Times New Roman"/>
              <w:sz w:val="20"/>
              <w:szCs w:val="20"/>
            </w:rPr>
          </w:pPr>
          <w:r>
            <w:rPr>
              <w:rFonts w:ascii="Times New Roman" w:hAnsi="Times New Roman"/>
              <w:sz w:val="20"/>
              <w:szCs w:val="20"/>
            </w:rPr>
            <w:t>05.07.2021</w:t>
          </w:r>
        </w:p>
      </w:tc>
    </w:tr>
    <w:tr w:rsidR="00A3521E" w:rsidRPr="002212E8" w:rsidTr="00A3521E">
      <w:trPr>
        <w:trHeight w:val="286"/>
      </w:trPr>
      <w:tc>
        <w:tcPr>
          <w:tcW w:w="1566" w:type="dxa"/>
          <w:vMerge/>
        </w:tcPr>
        <w:p w:rsidR="00A3521E" w:rsidRPr="002212E8" w:rsidRDefault="00A3521E" w:rsidP="00F37745">
          <w:pPr>
            <w:tabs>
              <w:tab w:val="center" w:pos="4536"/>
              <w:tab w:val="right" w:pos="9072"/>
            </w:tabs>
            <w:rPr>
              <w:rFonts w:ascii="Century Gothic" w:eastAsia="Century Gothic" w:hAnsi="Century Gothic"/>
            </w:rPr>
          </w:pPr>
        </w:p>
      </w:tc>
      <w:tc>
        <w:tcPr>
          <w:tcW w:w="5411" w:type="dxa"/>
          <w:vMerge/>
        </w:tcPr>
        <w:p w:rsidR="00A3521E" w:rsidRPr="002212E8" w:rsidRDefault="00A3521E" w:rsidP="00F37745">
          <w:pPr>
            <w:tabs>
              <w:tab w:val="center" w:pos="4536"/>
              <w:tab w:val="right" w:pos="9072"/>
            </w:tabs>
            <w:rPr>
              <w:rFonts w:ascii="Century Gothic" w:eastAsia="Century Gothic" w:hAnsi="Century Gothic"/>
            </w:rPr>
          </w:pPr>
        </w:p>
      </w:tc>
      <w:tc>
        <w:tcPr>
          <w:tcW w:w="1541" w:type="dxa"/>
        </w:tcPr>
        <w:p w:rsidR="00A3521E" w:rsidRPr="002D40E2" w:rsidRDefault="00A3521E"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491" w:type="dxa"/>
        </w:tcPr>
        <w:p w:rsidR="00A3521E" w:rsidRPr="002D40E2" w:rsidRDefault="001B0FF1" w:rsidP="00F37745">
          <w:pPr>
            <w:tabs>
              <w:tab w:val="center" w:pos="4536"/>
              <w:tab w:val="right" w:pos="9072"/>
            </w:tabs>
            <w:rPr>
              <w:rFonts w:ascii="Times New Roman" w:eastAsia="Century Gothic" w:hAnsi="Times New Roman"/>
              <w:sz w:val="20"/>
              <w:szCs w:val="20"/>
            </w:rPr>
          </w:pPr>
          <w:r>
            <w:rPr>
              <w:rFonts w:ascii="Times New Roman" w:hAnsi="Times New Roman"/>
              <w:sz w:val="20"/>
              <w:szCs w:val="20"/>
            </w:rPr>
            <w:t>26.07.2023</w:t>
          </w:r>
        </w:p>
      </w:tc>
    </w:tr>
    <w:tr w:rsidR="00A3521E" w:rsidRPr="002212E8" w:rsidTr="00A3521E">
      <w:trPr>
        <w:trHeight w:val="286"/>
      </w:trPr>
      <w:tc>
        <w:tcPr>
          <w:tcW w:w="1566" w:type="dxa"/>
          <w:vMerge/>
        </w:tcPr>
        <w:p w:rsidR="00A3521E" w:rsidRPr="002212E8" w:rsidRDefault="00A3521E" w:rsidP="00F37745">
          <w:pPr>
            <w:tabs>
              <w:tab w:val="center" w:pos="4536"/>
              <w:tab w:val="right" w:pos="9072"/>
            </w:tabs>
            <w:rPr>
              <w:rFonts w:ascii="Century Gothic" w:eastAsia="Century Gothic" w:hAnsi="Century Gothic"/>
            </w:rPr>
          </w:pPr>
        </w:p>
      </w:tc>
      <w:tc>
        <w:tcPr>
          <w:tcW w:w="5411" w:type="dxa"/>
          <w:vMerge/>
        </w:tcPr>
        <w:p w:rsidR="00A3521E" w:rsidRPr="002212E8" w:rsidRDefault="00A3521E" w:rsidP="00F37745">
          <w:pPr>
            <w:tabs>
              <w:tab w:val="center" w:pos="4536"/>
              <w:tab w:val="right" w:pos="9072"/>
            </w:tabs>
            <w:rPr>
              <w:rFonts w:ascii="Century Gothic" w:eastAsia="Century Gothic" w:hAnsi="Century Gothic"/>
            </w:rPr>
          </w:pPr>
        </w:p>
      </w:tc>
      <w:tc>
        <w:tcPr>
          <w:tcW w:w="1541" w:type="dxa"/>
        </w:tcPr>
        <w:p w:rsidR="00A3521E" w:rsidRPr="002D40E2" w:rsidRDefault="00A3521E"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491" w:type="dxa"/>
        </w:tcPr>
        <w:p w:rsidR="00A3521E" w:rsidRPr="002D40E2" w:rsidRDefault="00A3521E"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01</w:t>
          </w:r>
        </w:p>
      </w:tc>
    </w:tr>
    <w:tr w:rsidR="00A3521E" w:rsidRPr="002212E8" w:rsidTr="00A3521E">
      <w:trPr>
        <w:trHeight w:val="272"/>
      </w:trPr>
      <w:tc>
        <w:tcPr>
          <w:tcW w:w="1566" w:type="dxa"/>
          <w:vMerge/>
        </w:tcPr>
        <w:p w:rsidR="00A3521E" w:rsidRPr="002212E8" w:rsidRDefault="00A3521E" w:rsidP="00F37745">
          <w:pPr>
            <w:tabs>
              <w:tab w:val="center" w:pos="4536"/>
              <w:tab w:val="right" w:pos="9072"/>
            </w:tabs>
            <w:rPr>
              <w:rFonts w:ascii="Century Gothic" w:eastAsia="Century Gothic" w:hAnsi="Century Gothic"/>
            </w:rPr>
          </w:pPr>
        </w:p>
      </w:tc>
      <w:tc>
        <w:tcPr>
          <w:tcW w:w="5411" w:type="dxa"/>
          <w:vMerge/>
        </w:tcPr>
        <w:p w:rsidR="00A3521E" w:rsidRPr="002212E8" w:rsidRDefault="00A3521E" w:rsidP="00F37745">
          <w:pPr>
            <w:tabs>
              <w:tab w:val="center" w:pos="4536"/>
              <w:tab w:val="right" w:pos="9072"/>
            </w:tabs>
            <w:rPr>
              <w:rFonts w:ascii="Century Gothic" w:eastAsia="Century Gothic" w:hAnsi="Century Gothic"/>
            </w:rPr>
          </w:pPr>
        </w:p>
      </w:tc>
      <w:tc>
        <w:tcPr>
          <w:tcW w:w="1541" w:type="dxa"/>
        </w:tcPr>
        <w:p w:rsidR="00A3521E" w:rsidRPr="002D40E2" w:rsidRDefault="00A3521E"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491" w:type="dxa"/>
        </w:tcPr>
        <w:p w:rsidR="00A3521E" w:rsidRPr="002D40E2" w:rsidRDefault="00A3521E" w:rsidP="00F37745">
          <w:pPr>
            <w:tabs>
              <w:tab w:val="center" w:pos="4536"/>
              <w:tab w:val="right" w:pos="9072"/>
            </w:tabs>
            <w:rPr>
              <w:rFonts w:ascii="Times New Roman" w:eastAsia="Century Gothic" w:hAnsi="Times New Roman"/>
              <w:sz w:val="20"/>
              <w:szCs w:val="20"/>
            </w:rPr>
          </w:pPr>
          <w:r w:rsidRPr="00625CC9">
            <w:rPr>
              <w:rFonts w:ascii="Times New Roman" w:eastAsia="Century Gothic" w:hAnsi="Times New Roman"/>
              <w:sz w:val="20"/>
              <w:szCs w:val="20"/>
            </w:rPr>
            <w:fldChar w:fldCharType="begin"/>
          </w:r>
          <w:r w:rsidRPr="00625CC9">
            <w:rPr>
              <w:rFonts w:ascii="Times New Roman" w:eastAsia="Century Gothic" w:hAnsi="Times New Roman"/>
              <w:sz w:val="20"/>
              <w:szCs w:val="20"/>
            </w:rPr>
            <w:instrText>PAGE   \* MERGEFORMAT</w:instrText>
          </w:r>
          <w:r w:rsidRPr="00625CC9">
            <w:rPr>
              <w:rFonts w:ascii="Times New Roman" w:eastAsia="Century Gothic" w:hAnsi="Times New Roman"/>
              <w:sz w:val="20"/>
              <w:szCs w:val="20"/>
            </w:rPr>
            <w:fldChar w:fldCharType="separate"/>
          </w:r>
          <w:r w:rsidR="001B0FF1">
            <w:rPr>
              <w:rFonts w:ascii="Times New Roman" w:eastAsia="Century Gothic" w:hAnsi="Times New Roman"/>
              <w:noProof/>
              <w:sz w:val="20"/>
              <w:szCs w:val="20"/>
            </w:rPr>
            <w:t>3</w:t>
          </w:r>
          <w:r w:rsidRPr="00625CC9">
            <w:rPr>
              <w:rFonts w:ascii="Times New Roman" w:eastAsia="Century Gothic" w:hAnsi="Times New Roman"/>
              <w:sz w:val="20"/>
              <w:szCs w:val="20"/>
            </w:rPr>
            <w:fldChar w:fldCharType="end"/>
          </w:r>
          <w:r w:rsidR="00774443">
            <w:rPr>
              <w:rFonts w:ascii="Times New Roman" w:eastAsia="Century Gothic" w:hAnsi="Times New Roman"/>
              <w:sz w:val="20"/>
              <w:szCs w:val="20"/>
            </w:rPr>
            <w:t>/6</w:t>
          </w:r>
        </w:p>
      </w:tc>
    </w:tr>
  </w:tbl>
  <w:p w:rsidR="00A3521E" w:rsidRDefault="00A3521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6D230CB"/>
    <w:multiLevelType w:val="hybridMultilevel"/>
    <w:tmpl w:val="00ACFDE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3AF2029"/>
    <w:multiLevelType w:val="hybridMultilevel"/>
    <w:tmpl w:val="A296000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4A45706"/>
    <w:multiLevelType w:val="multilevel"/>
    <w:tmpl w:val="80024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3CB34C4"/>
    <w:multiLevelType w:val="multilevel"/>
    <w:tmpl w:val="0C1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27596"/>
    <w:multiLevelType w:val="multilevel"/>
    <w:tmpl w:val="8F6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C3F07C4"/>
    <w:multiLevelType w:val="multilevel"/>
    <w:tmpl w:val="109CAA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CB81744"/>
    <w:multiLevelType w:val="hybridMultilevel"/>
    <w:tmpl w:val="E09C765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BA22B02"/>
    <w:multiLevelType w:val="hybridMultilevel"/>
    <w:tmpl w:val="A830D16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4" w15:restartNumberingAfterBreak="0">
    <w:nsid w:val="70AC46A1"/>
    <w:multiLevelType w:val="multilevel"/>
    <w:tmpl w:val="9C96C4A6"/>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5" w15:restartNumberingAfterBreak="0">
    <w:nsid w:val="716F0C58"/>
    <w:multiLevelType w:val="hybridMultilevel"/>
    <w:tmpl w:val="A242668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3182D88"/>
    <w:multiLevelType w:val="hybridMultilevel"/>
    <w:tmpl w:val="91F4B0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976401"/>
    <w:multiLevelType w:val="hybridMultilevel"/>
    <w:tmpl w:val="9BD6DC4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9"/>
  </w:num>
  <w:num w:numId="4">
    <w:abstractNumId w:val="2"/>
  </w:num>
  <w:num w:numId="5">
    <w:abstractNumId w:val="18"/>
  </w:num>
  <w:num w:numId="6">
    <w:abstractNumId w:val="9"/>
  </w:num>
  <w:num w:numId="7">
    <w:abstractNumId w:val="1"/>
  </w:num>
  <w:num w:numId="8">
    <w:abstractNumId w:val="6"/>
  </w:num>
  <w:num w:numId="9">
    <w:abstractNumId w:val="15"/>
  </w:num>
  <w:num w:numId="10">
    <w:abstractNumId w:val="0"/>
  </w:num>
  <w:num w:numId="11">
    <w:abstractNumId w:val="12"/>
  </w:num>
  <w:num w:numId="12">
    <w:abstractNumId w:val="17"/>
  </w:num>
  <w:num w:numId="13">
    <w:abstractNumId w:val="5"/>
  </w:num>
  <w:num w:numId="14">
    <w:abstractNumId w:val="4"/>
  </w:num>
  <w:num w:numId="15">
    <w:abstractNumId w:val="14"/>
  </w:num>
  <w:num w:numId="16">
    <w:abstractNumId w:val="3"/>
  </w:num>
  <w:num w:numId="17">
    <w:abstractNumId w:val="10"/>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22A88"/>
    <w:rsid w:val="000264E3"/>
    <w:rsid w:val="0006390B"/>
    <w:rsid w:val="00096234"/>
    <w:rsid w:val="000A5764"/>
    <w:rsid w:val="000B242C"/>
    <w:rsid w:val="000C170C"/>
    <w:rsid w:val="00106D72"/>
    <w:rsid w:val="0014185F"/>
    <w:rsid w:val="001468A2"/>
    <w:rsid w:val="001771E2"/>
    <w:rsid w:val="001A3554"/>
    <w:rsid w:val="001A40D0"/>
    <w:rsid w:val="001B0FF1"/>
    <w:rsid w:val="001C1D04"/>
    <w:rsid w:val="002A3A1A"/>
    <w:rsid w:val="003200C4"/>
    <w:rsid w:val="00340128"/>
    <w:rsid w:val="00360608"/>
    <w:rsid w:val="003638EF"/>
    <w:rsid w:val="003647D5"/>
    <w:rsid w:val="003A0EEF"/>
    <w:rsid w:val="003B0CC9"/>
    <w:rsid w:val="003B1B13"/>
    <w:rsid w:val="003C7A59"/>
    <w:rsid w:val="003E3961"/>
    <w:rsid w:val="003F502E"/>
    <w:rsid w:val="00456D7E"/>
    <w:rsid w:val="004D5712"/>
    <w:rsid w:val="005653AF"/>
    <w:rsid w:val="0057025A"/>
    <w:rsid w:val="00571C86"/>
    <w:rsid w:val="00584E90"/>
    <w:rsid w:val="00593799"/>
    <w:rsid w:val="005F0492"/>
    <w:rsid w:val="005F5BF2"/>
    <w:rsid w:val="005F6602"/>
    <w:rsid w:val="00614175"/>
    <w:rsid w:val="006252DE"/>
    <w:rsid w:val="00625CC9"/>
    <w:rsid w:val="00630CAF"/>
    <w:rsid w:val="00635B91"/>
    <w:rsid w:val="0065646F"/>
    <w:rsid w:val="006933AD"/>
    <w:rsid w:val="006D26B4"/>
    <w:rsid w:val="007232CF"/>
    <w:rsid w:val="00723845"/>
    <w:rsid w:val="00774443"/>
    <w:rsid w:val="00894558"/>
    <w:rsid w:val="0089659C"/>
    <w:rsid w:val="008D116D"/>
    <w:rsid w:val="0090404B"/>
    <w:rsid w:val="009538DC"/>
    <w:rsid w:val="00982ADD"/>
    <w:rsid w:val="00983465"/>
    <w:rsid w:val="00985C04"/>
    <w:rsid w:val="009A0606"/>
    <w:rsid w:val="009A3F51"/>
    <w:rsid w:val="009B6499"/>
    <w:rsid w:val="00A30F62"/>
    <w:rsid w:val="00A3521E"/>
    <w:rsid w:val="00A46038"/>
    <w:rsid w:val="00AB54AC"/>
    <w:rsid w:val="00AE4F7A"/>
    <w:rsid w:val="00AE6104"/>
    <w:rsid w:val="00B04251"/>
    <w:rsid w:val="00B056F6"/>
    <w:rsid w:val="00B56F6D"/>
    <w:rsid w:val="00BD63A6"/>
    <w:rsid w:val="00C71DB5"/>
    <w:rsid w:val="00CC1B84"/>
    <w:rsid w:val="00CD4A95"/>
    <w:rsid w:val="00CF5BE0"/>
    <w:rsid w:val="00D2061F"/>
    <w:rsid w:val="00D33555"/>
    <w:rsid w:val="00D3776D"/>
    <w:rsid w:val="00D90B40"/>
    <w:rsid w:val="00E57A77"/>
    <w:rsid w:val="00E623B3"/>
    <w:rsid w:val="00E772FA"/>
    <w:rsid w:val="00EB6E49"/>
    <w:rsid w:val="00ED7E28"/>
    <w:rsid w:val="00F237D9"/>
    <w:rsid w:val="00F33577"/>
    <w:rsid w:val="00F37745"/>
    <w:rsid w:val="00F57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6733"/>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0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09129">
      <w:bodyDiv w:val="1"/>
      <w:marLeft w:val="0"/>
      <w:marRight w:val="0"/>
      <w:marTop w:val="0"/>
      <w:marBottom w:val="0"/>
      <w:divBdr>
        <w:top w:val="none" w:sz="0" w:space="0" w:color="auto"/>
        <w:left w:val="none" w:sz="0" w:space="0" w:color="auto"/>
        <w:bottom w:val="none" w:sz="0" w:space="0" w:color="auto"/>
        <w:right w:val="none" w:sz="0" w:space="0" w:color="auto"/>
      </w:divBdr>
    </w:div>
    <w:div w:id="416513354">
      <w:bodyDiv w:val="1"/>
      <w:marLeft w:val="0"/>
      <w:marRight w:val="0"/>
      <w:marTop w:val="0"/>
      <w:marBottom w:val="0"/>
      <w:divBdr>
        <w:top w:val="none" w:sz="0" w:space="0" w:color="auto"/>
        <w:left w:val="none" w:sz="0" w:space="0" w:color="auto"/>
        <w:bottom w:val="none" w:sz="0" w:space="0" w:color="auto"/>
        <w:right w:val="none" w:sz="0" w:space="0" w:color="auto"/>
      </w:divBdr>
    </w:div>
    <w:div w:id="779951138">
      <w:bodyDiv w:val="1"/>
      <w:marLeft w:val="0"/>
      <w:marRight w:val="0"/>
      <w:marTop w:val="0"/>
      <w:marBottom w:val="0"/>
      <w:divBdr>
        <w:top w:val="none" w:sz="0" w:space="0" w:color="auto"/>
        <w:left w:val="none" w:sz="0" w:space="0" w:color="auto"/>
        <w:bottom w:val="none" w:sz="0" w:space="0" w:color="auto"/>
        <w:right w:val="none" w:sz="0" w:space="0" w:color="auto"/>
      </w:divBdr>
    </w:div>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026828326">
      <w:bodyDiv w:val="1"/>
      <w:marLeft w:val="0"/>
      <w:marRight w:val="0"/>
      <w:marTop w:val="0"/>
      <w:marBottom w:val="0"/>
      <w:divBdr>
        <w:top w:val="none" w:sz="0" w:space="0" w:color="auto"/>
        <w:left w:val="none" w:sz="0" w:space="0" w:color="auto"/>
        <w:bottom w:val="none" w:sz="0" w:space="0" w:color="auto"/>
        <w:right w:val="none" w:sz="0" w:space="0" w:color="auto"/>
      </w:divBdr>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369799091">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513569718">
      <w:bodyDiv w:val="1"/>
      <w:marLeft w:val="0"/>
      <w:marRight w:val="0"/>
      <w:marTop w:val="0"/>
      <w:marBottom w:val="0"/>
      <w:divBdr>
        <w:top w:val="none" w:sz="0" w:space="0" w:color="auto"/>
        <w:left w:val="none" w:sz="0" w:space="0" w:color="auto"/>
        <w:bottom w:val="none" w:sz="0" w:space="0" w:color="auto"/>
        <w:right w:val="none" w:sz="0" w:space="0" w:color="auto"/>
      </w:divBdr>
    </w:div>
    <w:div w:id="1565799950">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 w:id="1890678856">
      <w:bodyDiv w:val="1"/>
      <w:marLeft w:val="0"/>
      <w:marRight w:val="0"/>
      <w:marTop w:val="0"/>
      <w:marBottom w:val="0"/>
      <w:divBdr>
        <w:top w:val="none" w:sz="0" w:space="0" w:color="auto"/>
        <w:left w:val="none" w:sz="0" w:space="0" w:color="auto"/>
        <w:bottom w:val="none" w:sz="0" w:space="0" w:color="auto"/>
        <w:right w:val="none" w:sz="0" w:space="0" w:color="auto"/>
      </w:divBdr>
    </w:div>
    <w:div w:id="21273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6</Pages>
  <Words>1325</Words>
  <Characters>7555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AYCA NUR AYDOGAN</cp:lastModifiedBy>
  <cp:revision>41</cp:revision>
  <dcterms:created xsi:type="dcterms:W3CDTF">2022-10-31T08:28:00Z</dcterms:created>
  <dcterms:modified xsi:type="dcterms:W3CDTF">2025-02-10T07:06:00Z</dcterms:modified>
</cp:coreProperties>
</file>